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b/>
          <w:sz w:val="28"/>
        </w:rPr>
        <w:t>2.4. Производственная программа предприятия</w:t>
      </w:r>
    </w:p>
    <w:p/>
    <w:p>
      <w:pPr>
        <w:spacing w:line="360" w:lineRule="auto"/>
        <w:ind w:firstLine="709"/>
      </w:pPr>
      <w:r>
        <w:t>Производственная программа определяет планируемые объёмы выпуска продукции по периодам и является основой для расчёта потребности в ресурсах и формирования финансовой модели в Project Expert [5].</w:t>
      </w:r>
    </w:p>
    <w:p>
      <w:pPr>
        <w:ind w:firstLine="0"/>
        <w:jc w:val="center"/>
      </w:pPr>
      <w:r>
        <w:rPr>
          <w:sz w:val="24"/>
        </w:rPr>
        <w:t>Таблица 2.10 - Исходные данные для расчёта производственной мощности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Значение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Обоснование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Паспортная производительность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9 м2/ч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Паспорт Рифей-Кондор [28]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Режим работы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1 смена, 8 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ТК РФ, ст. 91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Рабочих дней в году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Производственный календарь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Годовой фонд времени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2 000 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8 x 250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КИО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0,60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Переналадки, ТО, брак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Эффективная мощность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10 800 м2/год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9 x 2000 x 0,60</w:t>
            </w:r>
          </w:p>
        </w:tc>
      </w:tr>
    </w:tbl>
    <w:p/>
    <w:p>
      <w:pPr>
        <w:spacing w:line="360" w:lineRule="auto"/>
        <w:ind w:firstLine="709"/>
      </w:pPr>
      <w:r>
        <w:t>КИО = 0,60 учитывает: переналадку матриц (2-4 раза/смена по 15-20 мин); плановое ТО (1-2 ч/неделю); технологические простои; брак 2-3%; внеплановые остановки [5].</w:t>
      </w:r>
    </w:p>
    <w:p>
      <w:pPr>
        <w:spacing w:line="360" w:lineRule="auto"/>
        <w:ind w:firstLine="709"/>
      </w:pPr>
      <w:r>
        <w:t>Проект предусматривает поэтапный выход на мощность. Старт производства — март 2026 года; первые продажи — с августа 2026 года (после накопления запаса готовой продукции на складе). Динамика загрузки представлена в таблице 2.11.</w:t>
      </w:r>
    </w:p>
    <w:p>
      <w:pPr>
        <w:ind w:firstLine="0"/>
        <w:jc w:val="center"/>
      </w:pPr>
      <w:r>
        <w:rPr>
          <w:sz w:val="24"/>
        </w:rPr>
        <w:t>Таблица 2.11 - Производственная программа по годам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Год 1 (март 2026 - февр. 2027)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Год 2 (март 2027 - февр. 2028)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Год 3 (март 2028 - февр. 2029)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Средняя загрузка, 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Объём выпуска, м2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5 000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8 500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10 000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Объём бетона, м3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Среднемесячный выпуск, м2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417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708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833</w:t>
            </w:r>
          </w:p>
        </w:tc>
      </w:tr>
    </w:tbl>
    <w:p/>
    <w:p>
      <w:pPr>
        <w:spacing w:line="360" w:lineRule="auto"/>
        <w:ind w:firstLine="709"/>
      </w:pPr>
      <w:r>
        <w:t>В первый год плановый объём составляет 5 000 м2 (загрузка 45%). Невысокая загрузка обусловлена: формированием клиентской базы и каналов сбыта; отработкой технологических режимов операторами; сезонностью спроса (пик апрель-октябрь, спад в зимние месяцы на 40-60%) [10]. Во второй год загрузка возрастает до 75% (8 500 м2) за счёт перехода клиентов в категорию постоянных заказчиков. В третий год — 93% (10 000 м2), что близко к максимальной эффективной мощности.</w:t>
      </w:r>
    </w:p>
    <w:p>
      <w:pPr>
        <w:spacing w:line="360" w:lineRule="auto"/>
        <w:ind w:firstLine="709"/>
      </w:pPr>
      <w:r>
        <w:t>Распределение по видам продукции основано на структуре ассортимента (таблица 2.1).</w:t>
      </w:r>
    </w:p>
    <w:p>
      <w:pPr>
        <w:ind w:firstLine="0"/>
        <w:jc w:val="center"/>
      </w:pPr>
      <w:r>
        <w:rPr>
          <w:sz w:val="24"/>
        </w:rPr>
        <w:t>Таблица 2.12 - Производственная программа по видам продукции, м2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Вид продукции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Доля, 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Год 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Год 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Год 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Квадратная плитка 300x300x40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1 275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1 500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Квадратная плитка 300x300x60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1 250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2 125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2 500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Прямоугольная плитка 200x100x60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1 750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2 975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3 500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Шестигранная плитка 215x240x60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Фигурная плитка (волна) 222x109.5x70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Газонная решётка 600x400x100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ИТОГО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8 500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10 000</w:t>
            </w:r>
          </w:p>
        </w:tc>
      </w:tr>
    </w:tbl>
    <w:p/>
    <w:p>
      <w:pPr>
        <w:spacing w:line="360" w:lineRule="auto"/>
        <w:ind w:firstLine="709"/>
      </w:pPr>
      <w:r>
        <w:t>Помесячная программа первого года с учётом нарастания загрузки и сезонности представлена в таблице 2.13.</w:t>
      </w:r>
    </w:p>
    <w:p>
      <w:pPr>
        <w:ind w:firstLine="0"/>
        <w:jc w:val="center"/>
      </w:pPr>
      <w:r>
        <w:rPr>
          <w:sz w:val="24"/>
        </w:rPr>
        <w:t>Таблица 2.13 - Помесячная производственная программа первого года, м2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Загрузка, 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Выпуск, м2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Нарастающий итог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Март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Апрель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Май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Июнь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280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680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Июль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1 000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Август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1 440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Сентябрь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480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1 920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Октябрь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2 440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Ноябрь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2 880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Декабрь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3 240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Январь 2027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3 560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Февраль 2027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3 920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Допр. (корр.)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1 080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5 000</w:t>
            </w:r>
          </w:p>
        </w:tc>
      </w:tr>
    </w:tbl>
    <w:p/>
    <w:p>
      <w:pPr>
        <w:spacing w:line="360" w:lineRule="auto"/>
        <w:ind w:firstLine="709"/>
      </w:pPr>
      <w:r>
        <w:t>Примечание: строка «Допр.» отражает корректировку за счёт увеличения объёмов в пиковые месяцы (май-октябрь) сверх указанных базовых значений для достижения годового итога 5 000 м2.</w:t>
      </w:r>
    </w:p>
    <w:p>
      <w:pPr>
        <w:spacing w:line="360" w:lineRule="auto"/>
        <w:ind w:firstLine="709"/>
      </w:pPr>
      <w:r>
        <w:t>Сезонность спроса сглаживается стратегией «производства на склад»: в зимние месяцы изготавливаются типовые позиции, накопленный запас реализуется в весенний пик [10].</w:t>
      </w:r>
    </w:p>
    <w:p>
      <w:pPr>
        <w:spacing w:line="360" w:lineRule="auto"/>
        <w:ind w:firstLine="709"/>
      </w:pPr>
      <w:r>
        <w:t>Таким образом, производственная программа предусматривает выход на проектную мощность за три года: от 5 000 м2 до 10 000 м2 (93% от эффективной мощности). Расчёт потребности в ресурсах выполняется в параграфе 2.5.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