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6.png" ContentType="image/png"/>
  <Override PartName="/word/media/rId50.png" ContentType="image/png"/>
  <Override PartName="/word/media/rId3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EDGI</w:t>
      </w:r>
      <w:r>
        <w:t xml:space="preserve"> </w:t>
      </w:r>
      <w:r>
        <w:t xml:space="preserve">Exercise</w:t>
      </w:r>
      <w:r>
        <w:t xml:space="preserve"> </w:t>
      </w:r>
      <w:r>
        <w:t xml:space="preserve">Validation</w:t>
      </w:r>
      <w:r>
        <w:t xml:space="preserve"> </w:t>
      </w:r>
      <w:r>
        <w:t xml:space="preserve">Paper</w:t>
      </w:r>
      <w:r>
        <w:t xml:space="preserve"> </w:t>
      </w:r>
      <w:r>
        <w:t xml:space="preserve">Results</w:t>
      </w:r>
    </w:p>
    <w:p>
      <w:pPr>
        <w:pStyle w:val="Author"/>
      </w:pPr>
      <w:r>
        <w:t xml:space="preserve">Katherine</w:t>
      </w:r>
      <w:r>
        <w:t xml:space="preserve"> </w:t>
      </w:r>
      <w:r>
        <w:t xml:space="preserve">Schaumberg</w:t>
      </w:r>
    </w:p>
    <w:bookmarkStart w:id="21" w:name="X3e8cc2ab868eeebc7b57250fe9fc48031639a10"/>
    <w:p>
      <w:pPr>
        <w:pStyle w:val="Heading1"/>
      </w:pPr>
      <w:r>
        <w:t xml:space="preserve">Preliminary Aim - Develop a scoring algorithm</w:t>
      </w:r>
    </w:p>
    <w:p>
      <w:pPr>
        <w:pStyle w:val="FirstParagraph"/>
      </w:pPr>
      <w:r>
        <w:t xml:space="preserve">The first aim of this paper is to develop a scoring algorithm for a ED100k exercise items in an ED sample based on theoretical literature and available ED100k items which captures and defines rates of:</w:t>
      </w:r>
    </w:p>
    <w:p>
      <w:pPr>
        <w:pStyle w:val="BodyText"/>
      </w:pPr>
      <w:r>
        <w:t xml:space="preserve">1. Compulsive Exercise</w:t>
      </w:r>
    </w:p>
    <w:p>
      <w:pPr>
        <w:numPr>
          <w:ilvl w:val="0"/>
          <w:numId w:val="1001"/>
        </w:numPr>
      </w:pPr>
      <w:r>
        <w:t xml:space="preserve">Ever and Regular Compulsive Exercise</w:t>
      </w:r>
    </w:p>
    <w:p>
      <w:pPr>
        <w:numPr>
          <w:ilvl w:val="0"/>
          <w:numId w:val="1001"/>
        </w:numPr>
      </w:pPr>
      <w:r>
        <w:t xml:space="preserve">Current Compulsive Exercise</w:t>
      </w:r>
    </w:p>
    <w:p>
      <w:pPr>
        <w:pStyle w:val="FirstParagraph"/>
      </w:pPr>
      <w:r>
        <w:t xml:space="preserve">2. Exercise Addiction</w:t>
      </w:r>
    </w:p>
    <w:p>
      <w:pPr>
        <w:pStyle w:val="BodyText"/>
      </w:pPr>
      <w:r>
        <w:t xml:space="preserve">3. Excessive Exercise</w:t>
      </w:r>
    </w:p>
    <w:p>
      <w:pPr>
        <w:pStyle w:val="BodyText"/>
      </w:pPr>
      <w:r>
        <w:t xml:space="preserve">4. Compensatory Exercise</w:t>
      </w:r>
    </w:p>
    <w:p>
      <w:pPr>
        <w:pStyle w:val="BodyText"/>
      </w:pPr>
      <w:r>
        <w:t xml:space="preserve">5. Maladaptive Exercise (Broad)</w:t>
      </w:r>
    </w:p>
    <w:bookmarkStart w:id="20" w:name="scoring"/>
    <w:p>
      <w:pPr>
        <w:pStyle w:val="Heading2"/>
      </w:pPr>
      <w:r>
        <w:t xml:space="preserve">Scoring</w:t>
      </w:r>
    </w:p>
    <w:p>
      <w:pPr>
        <w:pStyle w:val="FirstParagraph"/>
      </w:pPr>
      <w:r>
        <w:t xml:space="preserve">The ED100k included 12 questions assessing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w:t>
      </w:r>
      <w:r>
        <w:t xml:space="preserve"> </w:t>
      </w:r>
      <w:r>
        <w:t xml:space="preserve">‘</w:t>
      </w:r>
      <w:r>
        <w:t xml:space="preserve">Yes</w:t>
      </w:r>
      <w:r>
        <w:t xml:space="preserve">’</w:t>
      </w:r>
      <w:r>
        <w:t xml:space="preserve"> </w:t>
      </w:r>
      <w:r>
        <w:t xml:space="preserve">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w:t>
      </w:r>
      <w:r>
        <w:t xml:space="preserve"> </w:t>
      </w:r>
      <w:r>
        <w:t xml:space="preserve">‘</w:t>
      </w:r>
      <w:r>
        <w:t xml:space="preserve">exercised excessively</w:t>
      </w:r>
      <w:r>
        <w:t xml:space="preserve">’</w:t>
      </w:r>
      <w:r>
        <w:t xml:space="preserve"> </w:t>
      </w:r>
      <w:r>
        <w:t xml:space="preserve">specifically to</w:t>
      </w:r>
      <w:r>
        <w:t xml:space="preserve"> </w:t>
      </w:r>
      <w:r>
        <w:rPr>
          <w:iCs/>
          <w:i/>
        </w:rPr>
        <w:t xml:space="preserve">compensate</w:t>
      </w:r>
      <w:r>
        <w:t xml:space="preserve"> </w:t>
      </w:r>
      <w:r>
        <w:t xml:space="preserve">for episodes of binge eating or overeating (Q12). During recoding, those (n = 945) who reported no to Q1 - exercise to control shape and weight, were marked as</w:t>
      </w:r>
      <w:r>
        <w:t xml:space="preserve"> </w:t>
      </w:r>
      <w:r>
        <w:t xml:space="preserve">‘</w:t>
      </w:r>
      <w:r>
        <w:t xml:space="preserve">0</w:t>
      </w:r>
      <w:r>
        <w:t xml:space="preserve">’</w:t>
      </w:r>
      <w:r>
        <w:t xml:space="preserve"> </w:t>
      </w:r>
      <w:r>
        <w:t xml:space="preserve">for follow-up questions. Those who reported that they had engaged in exercise to for weight and shape control but</w:t>
      </w:r>
      <w:r>
        <w:t xml:space="preserve"> </w:t>
      </w:r>
      <w:r>
        <w:t xml:space="preserve">‘</w:t>
      </w:r>
      <w:r>
        <w:t xml:space="preserve">No</w:t>
      </w:r>
      <w:r>
        <w:t xml:space="preserve">’</w:t>
      </w:r>
      <w:r>
        <w:t xml:space="preserve"> </w:t>
      </w:r>
      <w:r>
        <w:t xml:space="preserve">to both Q2 &amp; Q3 (n = 200) were marked as</w:t>
      </w:r>
      <w:r>
        <w:t xml:space="preserve"> </w:t>
      </w:r>
      <w:r>
        <w:t xml:space="preserve">‘</w:t>
      </w:r>
      <w:r>
        <w:t xml:space="preserve">0</w:t>
      </w:r>
      <w:r>
        <w:t xml:space="preserve">’</w:t>
      </w:r>
      <w:r>
        <w:t xml:space="preserve"> </w:t>
      </w:r>
      <w:r>
        <w:t xml:space="preserve">for Q4-Q11.</w:t>
      </w:r>
    </w:p>
    <w:p>
      <w:pPr>
        <w:pStyle w:val="BodyText"/>
      </w:pPr>
      <w:r>
        <w:t xml:space="preserve">Scoring algorithms for each subconstruct are presented in Table 1.</w:t>
      </w:r>
    </w:p>
    <w:p>
      <w:pPr>
        <w:pStyle w:val="TableCaption"/>
      </w:pPr>
      <w:r>
        <w:t xml:space="preserve">Table 1. Algorithm defining exercise-related constructs in the ED100k</w:t>
      </w:r>
    </w:p>
    <w:tbl>
      <w:tblPr>
        <w:tblStyle w:val="Table"/>
        <w:tblW w:type="pct" w:w="4984"/>
        <w:tblLook w:firstRow="1" w:lastRow="0" w:firstColumn="0" w:lastColumn="0" w:noHBand="0" w:noVBand="0" w:val="0020"/>
        <w:tblCaption w:val="Table 1. Algorithm defining exercise-related constructs in the ED100k"/>
      </w:tblPr>
      <w:tblGrid>
        <w:gridCol w:w="958"/>
        <w:gridCol w:w="5977"/>
        <w:gridCol w:w="958"/>
      </w:tblGrid>
      <w:tr>
        <w:trPr>
          <w:tblHeader w:val="true"/>
        </w:trPr>
        <w:tc>
          <w:tcPr/>
          <w:p>
            <w:pPr>
              <w:pStyle w:val="Compact"/>
              <w:jc w:val="left"/>
            </w:pPr>
            <w:r>
              <w:t xml:space="preserve">Construct</w:t>
            </w:r>
          </w:p>
        </w:tc>
        <w:tc>
          <w:tcPr/>
          <w:p>
            <w:pPr>
              <w:pStyle w:val="Compact"/>
              <w:jc w:val="left"/>
            </w:pPr>
            <w:r>
              <w:t xml:space="preserve">Criteria</w:t>
            </w:r>
          </w:p>
        </w:tc>
        <w:tc>
          <w:tcPr/>
          <w:p>
            <w:pPr>
              <w:pStyle w:val="Compact"/>
              <w:jc w:val="left"/>
            </w:pPr>
            <w:r>
              <w:t xml:space="preserve">Nested Within</w:t>
            </w:r>
          </w:p>
        </w:tc>
      </w:tr>
      <w:tr>
        <w:tc>
          <w:tcPr/>
          <w:p>
            <w:pPr>
              <w:pStyle w:val="Compact"/>
              <w:jc w:val="left"/>
            </w:pPr>
            <w:r>
              <w:t xml:space="preserve">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a few times, but it never became a habit</w:t>
            </w:r>
            <w:r>
              <w:t xml:space="preserve">’</w:t>
            </w:r>
            <w:r>
              <w:t xml:space="preserve"> </w:t>
            </w:r>
            <w:r>
              <w:t xml:space="preserve">or more</w:t>
            </w:r>
          </w:p>
        </w:tc>
        <w:tc>
          <w:tcPr/>
          <w:p>
            <w:pPr>
              <w:pStyle w:val="Compact"/>
              <w:jc w:val="left"/>
            </w:pPr>
            <w:r>
              <w:t xml:space="preserve">NA</w:t>
            </w:r>
          </w:p>
        </w:tc>
      </w:tr>
      <w:tr>
        <w:tc>
          <w:tcPr/>
          <w:p>
            <w:pPr>
              <w:pStyle w:val="Compact"/>
              <w:jc w:val="left"/>
            </w:pPr>
            <w:r>
              <w:t xml:space="preserve">Regular 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more often</w:t>
            </w:r>
            <w:r>
              <w:t xml:space="preserve">’</w:t>
            </w:r>
          </w:p>
        </w:tc>
        <w:tc>
          <w:tcPr/>
          <w:p>
            <w:pPr>
              <w:pStyle w:val="Compact"/>
              <w:jc w:val="left"/>
            </w:pPr>
            <w:r>
              <w:t xml:space="preserve">NA</w:t>
            </w:r>
          </w:p>
        </w:tc>
      </w:tr>
      <w:tr>
        <w:tc>
          <w:tcPr/>
          <w:p>
            <w:pPr>
              <w:pStyle w:val="Compact"/>
              <w:jc w:val="left"/>
            </w:pPr>
            <w:r>
              <w:t xml:space="preserve">Compulsive Exercise</w:t>
            </w:r>
          </w:p>
        </w:tc>
        <w:tc>
          <w:tcPr/>
          <w:p>
            <w:pPr>
              <w:jc w:val="left"/>
            </w:pPr>
            <w:r>
              <w:t xml:space="preserve">Exercise for Weight Control +</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pStyle w:val="Compact"/>
              <w:jc w:val="left"/>
            </w:pPr>
            <w:r>
              <w:t xml:space="preserve">Exercise for Weight Control</w:t>
            </w:r>
          </w:p>
        </w:tc>
      </w:tr>
      <w:tr>
        <w:tc>
          <w:tcPr/>
          <w:p>
            <w:pPr>
              <w:pStyle w:val="Compact"/>
              <w:jc w:val="left"/>
            </w:pPr>
            <w:r>
              <w:t xml:space="preserve">Regular Compulsive Exercise</w:t>
            </w:r>
          </w:p>
        </w:tc>
        <w:tc>
          <w:tcPr/>
          <w:p>
            <w:pPr>
              <w:jc w:val="left"/>
            </w:pPr>
            <w:r>
              <w:t xml:space="preserve">Regular Exercise for Weight Control</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jc w:val="left"/>
            </w:pPr>
            <w:r>
              <w:t xml:space="preserve">Exercise for Weight Control</w:t>
            </w:r>
          </w:p>
          <w:p>
            <w:pPr>
              <w:jc w:val="left"/>
            </w:pPr>
            <w:r>
              <w:t xml:space="preserve">Regular Exercise for Weight Control</w:t>
            </w:r>
          </w:p>
          <w:p>
            <w:pPr>
              <w:jc w:val="left"/>
            </w:pPr>
            <w:r>
              <w:t xml:space="preserve">Compulsive Exercise</w:t>
            </w:r>
          </w:p>
        </w:tc>
      </w:tr>
      <w:tr>
        <w:tc>
          <w:tcPr/>
          <w:p>
            <w:pPr>
              <w:pStyle w:val="Compact"/>
              <w:jc w:val="left"/>
            </w:pPr>
            <w:r>
              <w:t xml:space="preserve">Current Compulsive Exercise</w:t>
            </w:r>
          </w:p>
        </w:tc>
        <w:tc>
          <w:tcPr/>
          <w:p>
            <w:pPr>
              <w:jc w:val="left"/>
            </w:pPr>
            <w:r>
              <w:t xml:space="preserve">Compulsive Exercise</w:t>
            </w:r>
          </w:p>
          <w:p>
            <w:pPr>
              <w:jc w:val="left"/>
            </w:pPr>
            <w:r>
              <w:t xml:space="preserve">Do you currently exercise to control weight and shape AND feel compelled to exercise or distress if unable to exercise? ==</w:t>
            </w:r>
            <w:r>
              <w:t xml:space="preserve"> </w:t>
            </w:r>
            <w:r>
              <w:t xml:space="preserve">‘</w:t>
            </w:r>
            <w:r>
              <w:t xml:space="preserve">YES</w:t>
            </w:r>
            <w:r>
              <w:t xml:space="preserve">’</w:t>
            </w:r>
          </w:p>
        </w:tc>
        <w:tc>
          <w:tcPr/>
          <w:p>
            <w:pPr>
              <w:pStyle w:val="Compact"/>
              <w:jc w:val="left"/>
            </w:pPr>
            <w:r>
              <w:t xml:space="preserve">Compulsive Exercise</w:t>
            </w:r>
          </w:p>
        </w:tc>
      </w:tr>
      <w:tr>
        <w:tc>
          <w:tcPr/>
          <w:p>
            <w:pPr>
              <w:pStyle w:val="Compact"/>
              <w:jc w:val="left"/>
            </w:pPr>
            <w:r>
              <w:t xml:space="preserve">Addictive Exercise</w:t>
            </w:r>
          </w:p>
        </w:tc>
        <w:tc>
          <w:tcPr/>
          <w:p>
            <w:pPr>
              <w:jc w:val="left"/>
            </w:pPr>
            <w:r>
              <w:t xml:space="preserve">Regular Compulsive Exercise lasting at Least 3 month</w:t>
            </w:r>
          </w:p>
          <w:p>
            <w:pPr>
              <w:jc w:val="left"/>
            </w:pPr>
            <w:r>
              <w:t xml:space="preserve">1 or more of the following: caused them to change eating habits</w:t>
            </w:r>
          </w:p>
          <w:p>
            <w:pPr>
              <w:jc w:val="left"/>
            </w:pPr>
            <w:r>
              <w:t xml:space="preserve">-decline opportunities to be with friends</w:t>
            </w:r>
          </w:p>
          <w:p>
            <w:pPr>
              <w:jc w:val="left"/>
            </w:pPr>
            <w:r>
              <w:t xml:space="preserve">-exercised despite illness or injury</w:t>
            </w:r>
          </w:p>
        </w:tc>
        <w:tc>
          <w:tcPr/>
          <w:p>
            <w:pPr>
              <w:jc w:val="left"/>
            </w:pPr>
            <w:r>
              <w:t xml:space="preserve">Exercise for Weight Control</w:t>
            </w:r>
          </w:p>
          <w:p>
            <w:pPr>
              <w:jc w:val="left"/>
            </w:pPr>
            <w:r>
              <w:t xml:space="preserve">Regular Exercise for Weight Control</w:t>
            </w:r>
          </w:p>
          <w:p>
            <w:pPr>
              <w:jc w:val="left"/>
            </w:pPr>
            <w:r>
              <w:t xml:space="preserve">Compulsive Exercise</w:t>
            </w:r>
          </w:p>
          <w:p>
            <w:pPr>
              <w:jc w:val="left"/>
            </w:pPr>
            <w:r>
              <w:t xml:space="preserve">Regular Compulsive Exercise</w:t>
            </w:r>
          </w:p>
        </w:tc>
      </w:tr>
      <w:tr>
        <w:tc>
          <w:tcPr/>
          <w:p>
            <w:pPr>
              <w:pStyle w:val="Compact"/>
              <w:jc w:val="left"/>
            </w:pPr>
            <w:r>
              <w:t xml:space="preserve">Excessive Exercise</w:t>
            </w:r>
          </w:p>
        </w:tc>
        <w:tc>
          <w:tcPr/>
          <w:p>
            <w:pPr>
              <w:jc w:val="left"/>
            </w:pPr>
            <w:r>
              <w:t xml:space="preserve">Compulsive Exercise</w:t>
            </w:r>
          </w:p>
          <w:p>
            <w:pPr>
              <w:jc w:val="left"/>
            </w:pPr>
            <w:r>
              <w:t xml:space="preserve">Duration &gt;= 1 month</w:t>
            </w:r>
          </w:p>
          <w:p>
            <w:pPr>
              <w:jc w:val="left"/>
            </w:pPr>
            <w:r>
              <w:t xml:space="preserve">Frequency =</w:t>
            </w:r>
            <w:r>
              <w:t xml:space="preserve"> </w:t>
            </w:r>
            <w:r>
              <w:t xml:space="preserve">‘</w:t>
            </w:r>
            <w:r>
              <w:t xml:space="preserve">Every Day</w:t>
            </w:r>
            <w:r>
              <w:t xml:space="preserve">’</w:t>
            </w:r>
            <w:r>
              <w:t xml:space="preserve"> </w:t>
            </w:r>
            <w:r>
              <w:t xml:space="preserve">or</w:t>
            </w:r>
            <w:r>
              <w:t xml:space="preserve"> </w:t>
            </w:r>
            <w:r>
              <w:t xml:space="preserve">‘</w:t>
            </w:r>
            <w:r>
              <w:t xml:space="preserve">Nearly Every Day</w:t>
            </w:r>
            <w:r>
              <w:t xml:space="preserve">’</w:t>
            </w:r>
          </w:p>
        </w:tc>
        <w:tc>
          <w:tcPr/>
          <w:p>
            <w:pPr>
              <w:jc w:val="left"/>
            </w:pPr>
            <w:r>
              <w:t xml:space="preserve">Exercise for Weight Control</w:t>
            </w:r>
          </w:p>
          <w:p>
            <w:pPr>
              <w:jc w:val="left"/>
            </w:pPr>
            <w:r>
              <w:t xml:space="preserve">Compulsive Exercise</w:t>
            </w:r>
          </w:p>
        </w:tc>
      </w:tr>
      <w:tr>
        <w:tc>
          <w:tcPr/>
          <w:p>
            <w:pPr>
              <w:pStyle w:val="Compact"/>
              <w:jc w:val="left"/>
            </w:pPr>
            <w:r>
              <w:t xml:space="preserve">Compensatory Exercise</w:t>
            </w:r>
          </w:p>
        </w:tc>
        <w:tc>
          <w:tcPr/>
          <w:p>
            <w:pPr>
              <w:pStyle w:val="Compact"/>
              <w:jc w:val="left"/>
            </w:pPr>
            <w:r>
              <w:t xml:space="preserve">Have you ever used any of the following to compensate for episodes of binge eating or overeating? (Mark all that apply) (choice=Exercised excessively (e.g., felt compelled to exercise, felt uneasy or distressed if unable to exercise))</w:t>
            </w:r>
          </w:p>
        </w:tc>
        <w:tc>
          <w:tcPr/>
          <w:p>
            <w:pPr>
              <w:pStyle w:val="Compact"/>
              <w:jc w:val="left"/>
            </w:pPr>
            <w:r>
              <w:t xml:space="preserve">NA</w:t>
            </w:r>
          </w:p>
        </w:tc>
      </w:tr>
      <w:tr>
        <w:tc>
          <w:tcPr/>
          <w:p>
            <w:pPr>
              <w:pStyle w:val="Compact"/>
              <w:jc w:val="left"/>
            </w:pPr>
            <w:r>
              <w:t xml:space="preserve">Maladaptive Exercise</w:t>
            </w:r>
          </w:p>
        </w:tc>
        <w:tc>
          <w:tcPr/>
          <w:p>
            <w:pPr>
              <w:pStyle w:val="Compact"/>
              <w:jc w:val="left"/>
            </w:pPr>
            <w:r>
              <w:t xml:space="preserve">Compulsive Exercise ==</w:t>
            </w:r>
            <w:r>
              <w:t xml:space="preserve"> </w:t>
            </w:r>
            <w:r>
              <w:t xml:space="preserve">‘</w:t>
            </w:r>
            <w:r>
              <w:t xml:space="preserve">Yes</w:t>
            </w:r>
            <w:r>
              <w:t xml:space="preserve">’</w:t>
            </w:r>
            <w:r>
              <w:t xml:space="preserve"> </w:t>
            </w:r>
            <w:r>
              <w:t xml:space="preserve">OR Compensatory Exercise ==</w:t>
            </w:r>
            <w:r>
              <w:t xml:space="preserve"> </w:t>
            </w:r>
            <w:r>
              <w:t xml:space="preserve">‘</w:t>
            </w:r>
            <w:r>
              <w:t xml:space="preserve">Yes</w:t>
            </w:r>
            <w:r>
              <w:t xml:space="preserve">’</w:t>
            </w:r>
          </w:p>
        </w:tc>
        <w:tc>
          <w:tcPr/>
          <w:p>
            <w:pPr>
              <w:pStyle w:val="Compact"/>
              <w:jc w:val="left"/>
            </w:pPr>
            <w:r>
              <w:t xml:space="preserve">NA</w:t>
            </w:r>
          </w:p>
        </w:tc>
      </w:tr>
    </w:tbl>
    <w:bookmarkEnd w:id="20"/>
    <w:bookmarkEnd w:id="21"/>
    <w:bookmarkStart w:id="31" w:name="X0677b729564587833fc19360aa7c689e97ba71e"/>
    <w:p>
      <w:pPr>
        <w:pStyle w:val="Heading1"/>
      </w:pPr>
      <w:r>
        <w:t xml:space="preserve">Aim 1. Evaluate patterns of response across multiple exercise constructs, to identify the degree to which these constructs overlap in membership or capture distinct groups</w:t>
      </w:r>
    </w:p>
    <w:p>
      <w:pPr>
        <w:pStyle w:val="FirstParagraph"/>
      </w:pPr>
      <w:r>
        <w:t xml:space="preserve">We hypothesize that those indicating that they have</w:t>
      </w:r>
      <w:r>
        <w:t xml:space="preserve"> </w:t>
      </w:r>
      <w:r>
        <w:t xml:space="preserve">‘</w:t>
      </w:r>
      <w:r>
        <w:t xml:space="preserve">exercise excessively</w:t>
      </w:r>
      <w:r>
        <w:t xml:space="preserve">’</w:t>
      </w:r>
      <w:r>
        <w:t xml:space="preserve"> </w:t>
      </w:r>
      <w:r>
        <w:t xml:space="preserve">more often in the initial screening item will also be likely to meet criteria for compulsive exercise, exercise addiction, and excessive exercise (high sensitivity), and moderately likely to meet criteria for compensatory exercise (moderate sensitivity; high negative predictive value). Specficially, we hypotehsize ensitivity for compulsive exercise, exercise addiction, and excessive exercise based on item 1 will be &gt; 80%. Sensitivity for compensatory exercise from item 1 will be &gt; 60%, with &gt; 80% negative predictive value.</w:t>
      </w:r>
    </w:p>
    <w:p>
      <w:pPr>
        <w:pStyle w:val="BodyText"/>
      </w:pPr>
      <w:hyperlink w:anchor="fig-heatmap">
        <w:r>
          <w:rPr>
            <w:rStyle w:val="Hyperlink"/>
          </w:rPr>
          <w:t xml:space="preserve">Figure 1</w:t>
        </w:r>
      </w:hyperlink>
      <w:r>
        <w:t xml:space="preserve"> </w:t>
      </w:r>
      <w:r>
        <w:t xml:space="preserve">presents the proportion of the full sample along with subsamples meeting criteria for each (sub)construct</w:t>
      </w:r>
    </w:p>
    <w:tbl>
      <w:tblPr>
        <w:tblStyle w:val="Table"/>
        <w:tblW w:type="pct" w:w="5000"/>
        <w:tblLook w:firstRow="0" w:lastRow="0" w:firstColumn="0" w:lastColumn="0" w:noHBand="0" w:noVBand="0" w:val="0000"/>
      </w:tblPr>
      <w:tblGrid>
        <w:gridCol w:w="7920"/>
      </w:tblGrid>
      <w:tr>
        <w:tc>
          <w:tcPr/>
          <w:bookmarkStart w:id="25" w:name="fig-heatmap"/>
          <w:p>
            <w:pPr>
              <w:pStyle w:val="Figure"/>
              <w:jc w:val="center"/>
            </w:pPr>
            <w:r>
              <w:drawing>
                <wp:inline>
                  <wp:extent cx="5334000" cy="4408835"/>
                  <wp:effectExtent b="0" l="0" r="0" t="0"/>
                  <wp:docPr descr="" title="" id="23" name="Picture"/>
                  <a:graphic>
                    <a:graphicData uri="http://schemas.openxmlformats.org/drawingml/2006/picture">
                      <pic:pic>
                        <pic:nvPicPr>
                          <pic:cNvPr descr="figs/ex_heatmap.png" id="24" name="Picture"/>
                          <pic:cNvPicPr>
                            <a:picLocks noChangeArrowheads="1" noChangeAspect="1"/>
                          </pic:cNvPicPr>
                        </pic:nvPicPr>
                        <pic:blipFill>
                          <a:blip r:embed="rId22"/>
                          <a:stretch>
                            <a:fillRect/>
                          </a:stretch>
                        </pic:blipFill>
                        <pic:spPr bwMode="auto">
                          <a:xfrm>
                            <a:off x="0" y="0"/>
                            <a:ext cx="5334000" cy="44088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1. Heatmap with percentage of (sub)samples (horizontal axis) meeting criteria for each (sub)construct (vertical axis).</w:t>
            </w:r>
          </w:p>
          <w:bookmarkEnd w:id="25"/>
        </w:tc>
      </w:tr>
    </w:tbl>
    <w:bookmarkStart w:id="30" w:name="Xcdeae16914acc44691c50455d519a80b9ed353a"/>
    <w:p>
      <w:pPr>
        <w:pStyle w:val="Heading2"/>
      </w:pPr>
      <w:r>
        <w:t xml:space="preserve">Accuracy of Q1 -</w:t>
      </w:r>
      <w:r>
        <w:t xml:space="preserve"> </w:t>
      </w:r>
      <w:r>
        <w:t xml:space="preserve">‘</w:t>
      </w:r>
      <w:r>
        <w:t xml:space="preserve">Excessive Exercise</w:t>
      </w:r>
      <w:r>
        <w:t xml:space="preserve">’</w:t>
      </w:r>
      <w:r>
        <w:t xml:space="preserve"> </w:t>
      </w:r>
      <w:r>
        <w:t xml:space="preserve">for Weight Control to Detect Different Exercise Constructs</w:t>
      </w:r>
    </w:p>
    <w:tbl>
      <w:tblPr>
        <w:tblStyle w:val="Table"/>
        <w:tblW w:type="pct" w:w="5000"/>
        <w:tblLook w:firstRow="0" w:lastRow="0" w:firstColumn="0" w:lastColumn="0" w:noHBand="0" w:noVBand="0" w:val="0000"/>
      </w:tblPr>
      <w:tblGrid>
        <w:gridCol w:w="7920"/>
      </w:tblGrid>
      <w:tr>
        <w:tc>
          <w:tcPr/>
          <w:bookmarkStart w:id="29" w:name="fig-Q1sensitivity"/>
          <w:p>
            <w:pPr>
              <w:pStyle w:val="Figure"/>
              <w:jc w:val="center"/>
            </w:pPr>
            <w:r>
              <w:drawing>
                <wp:inline>
                  <wp:extent cx="5334000" cy="4267200"/>
                  <wp:effectExtent b="0" l="0" r="0" t="0"/>
                  <wp:docPr descr="" title="" id="27" name="Picture"/>
                  <a:graphic>
                    <a:graphicData uri="http://schemas.openxmlformats.org/drawingml/2006/picture">
                      <pic:pic>
                        <pic:nvPicPr>
                          <pic:cNvPr descr="Validation_Paper_Analysis_files/figure-docx/fig-Q1sensitivity-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Accuracy of Q1 in Detecting Compulsive, Addictive, and Excessive Exercise</w:t>
            </w:r>
          </w:p>
          <w:bookmarkEnd w:id="29"/>
        </w:tc>
      </w:tr>
    </w:tbl>
    <w:p>
      <w:pPr>
        <w:pStyle w:val="BodyText"/>
      </w:pPr>
      <w:r>
        <w:t xml:space="preserve">Overall, there was high convergent validity for Q1 with Q2-Q6. Specifically, individuals eating disorders who endorse using exercise to intentionally control weight</w:t>
      </w:r>
      <w:r>
        <w:t xml:space="preserve"> </w:t>
      </w:r>
      <w:r>
        <w:t xml:space="preserve">‘</w:t>
      </w:r>
      <w:r>
        <w:t xml:space="preserve">more often</w:t>
      </w:r>
      <w:r>
        <w:t xml:space="preserve">’</w:t>
      </w:r>
      <w:r>
        <w:t xml:space="preserve"> </w:t>
      </w:r>
      <w:r>
        <w:t xml:space="preserve">are indeed highly likely to engage in this behavior for a substantive period of time – 98.2% of those reporting exercise to intentionally control weight</w:t>
      </w:r>
      <w:r>
        <w:t xml:space="preserve"> </w:t>
      </w:r>
      <w:r>
        <w:t xml:space="preserve">‘</w:t>
      </w:r>
      <w:r>
        <w:t xml:space="preserve">more often</w:t>
      </w:r>
      <w:r>
        <w:t xml:space="preserve">’</w:t>
      </w:r>
      <w:r>
        <w:t xml:space="preserve"> </w:t>
      </w:r>
      <w:r>
        <w:t xml:space="preserve">reported a duration of compulsive exercise &gt; 3 months; a time period of equivalent to diagnostic levels of other intentional weight control behaviors), and to report symptoms consistent with a definition of both compulsive and addictive exercise.</w:t>
      </w:r>
      <w:r>
        <w:t xml:space="preserve"> </w:t>
      </w:r>
      <w:hyperlink w:anchor="fig-Q1sensitivity">
        <w:r>
          <w:rPr>
            <w:rStyle w:val="Hyperlink"/>
          </w:rPr>
          <w:t xml:space="preserve">Figure 2</w:t>
        </w:r>
      </w:hyperlink>
      <w:r>
        <w:t xml:space="preserve"> </w:t>
      </w:r>
      <w:r>
        <w:t xml:space="preserve">reports on the utility of Q1 to capture different exercise constructs assessed in Q2-Q12. The sensitivity and negative predictive values of endorsement of any exercise Q1 in detecting compulsive, addictive, and excessive exercise were forced to 1.0 for those answering that they had ever engaged in any exercise on Q1 by skip logic. Sensitivity to compensatory exercise, was also high – almost all of those who endorsed compensatory exercise also reported excessive exercise for weight loss on Q1. Positive predictive value – the degree to which an affirmative answer to Q1 translated to endorsement of these constructs, varied across constructs. For compulsive exercise, those who endorsed any exercise on Q1 were also very likely to endorse compulsive exercise symptoms. Positive predictive value of those endorsing any exercise on Q1 was somewhat lower for excessive, addictive, and regular compulsive exercise (~.70), and even lower for compensatory exercise (0.58) The positive predictive value rose for these maladaptive exercise constructs when individuals reported exercise</w:t>
      </w:r>
      <w:r>
        <w:t xml:space="preserve"> </w:t>
      </w:r>
      <w:r>
        <w:t xml:space="preserve">‘</w:t>
      </w:r>
      <w:r>
        <w:t xml:space="preserve">more often</w:t>
      </w:r>
      <w:r>
        <w:t xml:space="preserve">’</w:t>
      </w:r>
      <w:r>
        <w:t xml:space="preserve">. Regarding specificity, there was relatively high specificity for</w:t>
      </w:r>
      <w:r>
        <w:t xml:space="preserve"> </w:t>
      </w:r>
      <w:r>
        <w:t xml:space="preserve">‘</w:t>
      </w:r>
      <w:r>
        <w:t xml:space="preserve">Any</w:t>
      </w:r>
      <w:r>
        <w:t xml:space="preserve">’</w:t>
      </w:r>
      <w:r>
        <w:t xml:space="preserve"> </w:t>
      </w:r>
      <w:r>
        <w:t xml:space="preserve">or more to Q1 for compulsive exercise, which rose to near perfect specificity when the criteria was set at</w:t>
      </w:r>
      <w:r>
        <w:t xml:space="preserve"> </w:t>
      </w:r>
      <w:r>
        <w:t xml:space="preserve">‘</w:t>
      </w:r>
      <w:r>
        <w:t xml:space="preserve">More Often</w:t>
      </w:r>
      <w:r>
        <w:t xml:space="preserve">’</w:t>
      </w:r>
      <w:r>
        <w:t xml:space="preserve">. Specificty was low for</w:t>
      </w:r>
      <w:r>
        <w:t xml:space="preserve"> </w:t>
      </w:r>
      <w:r>
        <w:t xml:space="preserve">‘</w:t>
      </w:r>
      <w:r>
        <w:t xml:space="preserve">Any</w:t>
      </w:r>
      <w:r>
        <w:t xml:space="preserve">’</w:t>
      </w:r>
      <w:r>
        <w:t xml:space="preserve"> </w:t>
      </w:r>
      <w:r>
        <w:t xml:space="preserve">exercise in Q1 capturing addictive, excessive, and regular compulsive exercise, but rose significantly when criteria was set at</w:t>
      </w:r>
      <w:r>
        <w:t xml:space="preserve"> </w:t>
      </w:r>
      <w:r>
        <w:t xml:space="preserve">‘</w:t>
      </w:r>
      <w:r>
        <w:t xml:space="preserve">More Often</w:t>
      </w:r>
      <w:r>
        <w:t xml:space="preserve">’</w:t>
      </w:r>
      <w:r>
        <w:t xml:space="preserve">. Specificity was also low for</w:t>
      </w:r>
      <w:r>
        <w:t xml:space="preserve"> </w:t>
      </w:r>
      <w:r>
        <w:t xml:space="preserve">‘</w:t>
      </w:r>
      <w:r>
        <w:t xml:space="preserve">Any</w:t>
      </w:r>
      <w:r>
        <w:t xml:space="preserve">’</w:t>
      </w:r>
      <w:r>
        <w:t xml:space="preserve"> </w:t>
      </w:r>
      <w:r>
        <w:t xml:space="preserve">exercise in Q1 capturing compensatory exercise, and rose modestly when the Q1 criteria was set to</w:t>
      </w:r>
      <w:r>
        <w:t xml:space="preserve"> </w:t>
      </w:r>
      <w:r>
        <w:t xml:space="preserve">‘</w:t>
      </w:r>
      <w:r>
        <w:t xml:space="preserve">More Often</w:t>
      </w:r>
      <w:r>
        <w:t xml:space="preserve">’</w:t>
      </w:r>
      <w:r>
        <w:t xml:space="preserve">. When considering overall accuracy, endorsement of</w:t>
      </w:r>
      <w:r>
        <w:t xml:space="preserve"> </w:t>
      </w:r>
      <w:r>
        <w:t xml:space="preserve">‘</w:t>
      </w:r>
      <w:r>
        <w:t xml:space="preserve">any</w:t>
      </w:r>
      <w:r>
        <w:t xml:space="preserve">’</w:t>
      </w:r>
      <w:r>
        <w:t xml:space="preserve"> </w:t>
      </w:r>
      <w:r>
        <w:t xml:space="preserve">exercise in Q1 best captured those who endorsed</w:t>
      </w:r>
      <w:r>
        <w:t xml:space="preserve"> </w:t>
      </w:r>
      <w:r>
        <w:rPr>
          <w:iCs/>
          <w:i/>
        </w:rPr>
        <w:t xml:space="preserve">any</w:t>
      </w:r>
      <w:r>
        <w:t xml:space="preserve"> </w:t>
      </w:r>
      <w:r>
        <w:t xml:space="preserve">history of compulsive exercise, whereas, for the more stringent criteria of regular compulsive or addictive exercise, endorsement of exercise</w:t>
      </w:r>
      <w:r>
        <w:t xml:space="preserve"> </w:t>
      </w:r>
      <w:r>
        <w:t xml:space="preserve">‘</w:t>
      </w:r>
      <w:r>
        <w:t xml:space="preserve">More Often</w:t>
      </w:r>
      <w:r>
        <w:t xml:space="preserve">’</w:t>
      </w:r>
      <w:r>
        <w:t xml:space="preserve"> </w:t>
      </w:r>
      <w:r>
        <w:t xml:space="preserve">in Q1 demonstrated good accuracy. Overall, the vast majority of individuals with eating disorders who reporting regular exercise for weight loss to control weight and shape in Q1 go on to report that this exercise was compulsive, and that they also experienced life interfering sequellae of this behavior. Further, regarding specific addictive exercise symptoms, the modal number of exercise interference items was all 3. While Q1 accurately defined those experiencing compulsive and addictive exercise with little additional information provided from follow-up questions, the same was not true for excessive exercise and compensatory exercise – additional questions may be necessary to define excessive and compensatory exercise with the highest levels of accuracy, and endorsement of these constructs do not entirely overlap with endorsement of other maladpative exercise symptoms.</w:t>
      </w:r>
    </w:p>
    <w:bookmarkEnd w:id="30"/>
    <w:bookmarkEnd w:id="31"/>
    <w:bookmarkStart w:id="49" w:name="X552d3a4f412f66a22432a7e8ddd5ffede455c61"/>
    <w:p>
      <w:pPr>
        <w:pStyle w:val="Heading1"/>
      </w:pPr>
      <w:r>
        <w:t xml:space="preserve">Aim 2. Evaluate Convergent and Discriminant Validity between history of</w:t>
      </w:r>
      <w:r>
        <w:t xml:space="preserve"> </w:t>
      </w:r>
      <w:r>
        <w:rPr>
          <w:iCs/>
          <w:i/>
        </w:rPr>
        <w:t xml:space="preserve">maladaptive</w:t>
      </w:r>
      <w:r>
        <w:t xml:space="preserve"> </w:t>
      </w:r>
      <w:r>
        <w:t xml:space="preserve">and</w:t>
      </w:r>
      <w:r>
        <w:t xml:space="preserve"> </w:t>
      </w:r>
      <w:r>
        <w:rPr>
          <w:iCs/>
          <w:i/>
        </w:rPr>
        <w:t xml:space="preserve">compulsive</w:t>
      </w:r>
      <w:r>
        <w:t xml:space="preserve"> </w:t>
      </w:r>
      <w:r>
        <w:t xml:space="preserve">exercise and: current compulsive exercise, perfectionism, and OCD sympotms</w:t>
      </w:r>
    </w:p>
    <w:p>
      <w:pPr>
        <w:pStyle w:val="FirstParagraph"/>
      </w:pPr>
      <w:r>
        <w:t xml:space="preserve">H2a: Individuals who do not report</w:t>
      </w:r>
      <w:r>
        <w:t xml:space="preserve"> </w:t>
      </w:r>
      <w:r>
        <w:rPr>
          <w:iCs/>
          <w:i/>
        </w:rPr>
        <w:t xml:space="preserve">any</w:t>
      </w:r>
      <w:r>
        <w:t xml:space="preserve"> </w:t>
      </w:r>
      <w:r>
        <w:rPr>
          <w:iCs/>
          <w:i/>
        </w:rPr>
        <w:t xml:space="preserve">history</w:t>
      </w:r>
      <w:r>
        <w:t xml:space="preserve"> </w:t>
      </w:r>
      <w:r>
        <w:t xml:space="preserve">of maladaptive and compulsive exercise will not report current compulsive exercise (high negative predictive value).</w:t>
      </w:r>
      <w:r>
        <w:t xml:space="preserve"> </w:t>
      </w:r>
      <w:r>
        <w:rPr>
          <w:iCs/>
          <w:i/>
        </w:rPr>
        <w:t xml:space="preserve">&gt;90% negative predictive value of history to 1. Current driven exercise to manage weight/shape on the EDEQ, 2. Current compulsive exercise on the CET</w:t>
      </w:r>
    </w:p>
    <w:p>
      <w:pPr>
        <w:pStyle w:val="BodyText"/>
      </w:pPr>
      <w:hyperlink w:anchor="fig-npv">
        <w:r>
          <w:rPr>
            <w:rStyle w:val="Hyperlink"/>
          </w:rPr>
          <w:t xml:space="preserve">Figure 3</w:t>
        </w:r>
      </w:hyperlink>
      <w:r>
        <w:t xml:space="preserve"> </w:t>
      </w:r>
      <w:r>
        <w:t xml:space="preserve">demonstrates confusion matrix components for history of compulsive and maladaptive exercise endorsement on the ED100k and current compulsive exercise endorsement assessed by 1. meeting CET clinical cutoff and 2. endorsement of EDEQ (any and at least weekly) driven exercise in the past 28 days. As hypothesized, both compulsive and maladaptive exercise had a high negative predictive value – those who did not endorse any history of compulsive or maladaptive exercise were unlikely to endorse current compulsive or driven exercise on the CET and EDEQ. Negative predictive values for both CET clinical cutoff and weekly or more maladaptive exercise (4x or more over the past 28 days) were &gt; 0.9. Negative predictive values were slightly lower for reports of any driven exercise over the past 28 days (~ 0.85), indicating that some individuals who endorse no history of compulsive exercise may engage in this behavior at relatively low frequency.</w:t>
      </w:r>
      <w:r>
        <w:rPr>
          <w:iCs/>
          <w:i/>
        </w:rPr>
        <w:t xml:space="preserve">Accuracy</w:t>
      </w:r>
      <w:r>
        <w:t xml:space="preserve">,</w:t>
      </w:r>
      <w:r>
        <w:t xml:space="preserve"> </w:t>
      </w:r>
      <w:r>
        <w:rPr>
          <w:iCs/>
          <w:i/>
        </w:rPr>
        <w:t xml:space="preserve">positive predictive value</w:t>
      </w:r>
      <w:r>
        <w:t xml:space="preserve">, and</w:t>
      </w:r>
      <w:r>
        <w:t xml:space="preserve"> </w:t>
      </w:r>
      <w:r>
        <w:rPr>
          <w:iCs/>
          <w:i/>
        </w:rPr>
        <w:t xml:space="preserve">specificity</w:t>
      </w:r>
      <w:r>
        <w:t xml:space="preserve"> </w:t>
      </w:r>
      <w:r>
        <w:t xml:space="preserve">were all low, indicating that many individuals who reported history of compulsive exercise on the ED100k were not engaging in this behavior at the time of assessment.</w:t>
      </w:r>
    </w:p>
    <w:tbl>
      <w:tblPr>
        <w:tblStyle w:val="Table"/>
        <w:tblW w:type="pct" w:w="5000"/>
        <w:tblLook w:firstRow="0" w:lastRow="0" w:firstColumn="0" w:lastColumn="0" w:noHBand="0" w:noVBand="0" w:val="0000"/>
      </w:tblPr>
      <w:tblGrid>
        <w:gridCol w:w="7920"/>
      </w:tblGrid>
      <w:tr>
        <w:tc>
          <w:tcPr/>
          <w:bookmarkStart w:id="35" w:name="fig-npv"/>
          <w:p>
            <w:pPr>
              <w:pStyle w:val="Figure"/>
              <w:jc w:val="center"/>
            </w:pPr>
            <w:r>
              <w:drawing>
                <wp:inline>
                  <wp:extent cx="5334000" cy="4267200"/>
                  <wp:effectExtent b="0" l="0" r="0" t="0"/>
                  <wp:docPr descr="" title="" id="33" name="Picture"/>
                  <a:graphic>
                    <a:graphicData uri="http://schemas.openxmlformats.org/drawingml/2006/picture">
                      <pic:pic>
                        <pic:nvPicPr>
                          <pic:cNvPr descr="Validation_Paper_Analysis_files/figure-docx/fig-npv-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Confusion matrix components of compulsive and maladaptive history vs. current CET and EDEQ exercise</w:t>
            </w:r>
          </w:p>
          <w:bookmarkEnd w:id="35"/>
        </w:tc>
      </w:tr>
    </w:tbl>
    <w:bookmarkStart w:id="47" w:name="X730d93febcb3866930d8c0bc3c92c5ea1dfe418"/>
    <w:p>
      <w:pPr>
        <w:pStyle w:val="Heading2"/>
      </w:pPr>
      <w:r>
        <w:t xml:space="preserve">CET scores and EDEQ driven exercise across ED100k compulsive exercise history and current endorsement</w:t>
      </w:r>
    </w:p>
    <w:p>
      <w:pPr>
        <w:pStyle w:val="FirstParagraph"/>
      </w:pPr>
      <w:r>
        <w:t xml:space="preserve">H2b: Comparing across groups who report no history of compulsive exercise, history of, but not current, compulsive exercise, and those with current compulsive exercise on the ED100k, those who report ED100k current compulsive exercise will report highest CET scores (total, and all subscales except for exercise enjoyment). Those reporting history of, but not current, compulsive exercise will report intermediate CET scores – higher than those reporting no history of compulsive exercise on the ED100k but lower than those reporting current compulsive exercise. We also expect thsoe reporting current compulsive exercise on the ED100k to be more likely to reach the CET clinical cutoff and report more days of driven exercise over the past 28 days on the EDEQ.</w:t>
      </w:r>
    </w:p>
    <w:p>
      <w:pPr>
        <w:pStyle w:val="BodyText"/>
      </w:pPr>
      <w:r>
        <w:t xml:space="preserve">Overall, 13.43% of the sample reported No history of compulsive exercise, 45.26% reported a history of compulsive exercise that was not current, and 41.31% reported current compulsive exercise.</w:t>
      </w:r>
    </w:p>
    <w:p>
      <w:pPr>
        <w:pStyle w:val="BodyText"/>
      </w:pPr>
      <w:r>
        <w:t xml:space="preserve">Boxplots with median standardized scores on all CET subscales along with CET total score is presented in</w:t>
      </w:r>
      <w:r>
        <w:t xml:space="preserve"> </w:t>
      </w:r>
      <w:hyperlink w:anchor="fig-CETsubs">
        <w:r>
          <w:rPr>
            <w:rStyle w:val="Hyperlink"/>
          </w:rPr>
          <w:t xml:space="preserve">Figure 4</w:t>
        </w:r>
      </w:hyperlink>
      <w:r>
        <w:t xml:space="preserve">. To formally test the hypothesis that those with reporting ED100k current compulsive exercise would also report the highest scores on the CET, we completed a series of ANOVAs comparing those with reporting no compulsive exercise, history of compulsive exercise only, and current compulsive exercise on current CET scores, p &lt; .05 for all subscales and global, and calculation of Cohen’s d effect sizes.*</w:t>
      </w:r>
    </w:p>
    <w:tbl>
      <w:tblPr>
        <w:tblStyle w:val="Table"/>
        <w:tblW w:type="pct" w:w="5000"/>
        <w:tblLook w:firstRow="0" w:lastRow="0" w:firstColumn="0" w:lastColumn="0" w:noHBand="0" w:noVBand="0" w:val="0000"/>
      </w:tblPr>
      <w:tblGrid>
        <w:gridCol w:w="7920"/>
      </w:tblGrid>
      <w:tr>
        <w:tc>
          <w:tcPr/>
          <w:bookmarkStart w:id="39" w:name="fig-CETsubs"/>
          <w:p>
            <w:pPr>
              <w:pStyle w:val="Figure"/>
              <w:jc w:val="center"/>
            </w:pPr>
            <w:r>
              <w:drawing>
                <wp:inline>
                  <wp:extent cx="5334000" cy="4267200"/>
                  <wp:effectExtent b="0" l="0" r="0" t="0"/>
                  <wp:docPr descr="" title="" id="37" name="Picture"/>
                  <a:graphic>
                    <a:graphicData uri="http://schemas.openxmlformats.org/drawingml/2006/picture">
                      <pic:pic>
                        <pic:nvPicPr>
                          <pic:cNvPr descr="Validation_Paper_Analysis_files/figure-docx/fig-CETsubs-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Median standardized CET subscale scores across those reporting no compulsive exercise, compulsive exercise history (not current), and current compulsive exercise on the ED100k</w:t>
            </w:r>
          </w:p>
          <w:bookmarkEnd w:id="39"/>
        </w:tc>
      </w:tr>
    </w:tbl>
    <w:p>
      <w:pPr>
        <w:pStyle w:val="BodyText"/>
      </w:pPr>
      <w:hyperlink w:anchor="tbl-CETANOVA">
        <w:r>
          <w:rPr>
            <w:rStyle w:val="Hyperlink"/>
          </w:rPr>
          <w:t xml:space="preserve">Table 1</w:t>
        </w:r>
      </w:hyperlink>
      <w:r>
        <w:t xml:space="preserve"> </w:t>
      </w:r>
      <w:r>
        <w:t xml:space="preserve">reports ANOVA output for each CET subscale, comparing across the three groups of individuals who report no compulsive exercise, compulsive exercise history but not current compulsive exercise, and both history and current compulsive exercise on the ED100k. All omnibus tests reach significance.</w:t>
      </w:r>
    </w:p>
    <w:bookmarkStart w:id="40" w:name="tbl-CETANOVA"/>
    <w:p>
      <w:pPr>
        <w:pStyle w:val="TableCaption"/>
      </w:pPr>
      <w:r>
        <w:t xml:space="preserve">Table 1: Omnibus ANOVA results comparing groups with current, history only, and no history of compulsive exercise on the ED100k on CET subscales</w:t>
      </w:r>
    </w:p>
    <w:tbl>
      <w:tblPr>
        <w:tblStyle w:val="Table"/>
        <w:tblW w:type="pct" w:w="5000"/>
        <w:tblLook w:firstRow="1" w:lastRow="0" w:firstColumn="0" w:lastColumn="0" w:noHBand="0" w:noVBand="0" w:val="0020"/>
        <w:tblCaption w:val="Table 1: Omnibus ANOVA results comparing groups with current, history only, and no history of compulsive exercise on the ED100k on CET subscales"/>
      </w:tblPr>
      <w:tblGrid>
        <w:gridCol w:w="1029"/>
        <w:gridCol w:w="3405"/>
        <w:gridCol w:w="396"/>
        <w:gridCol w:w="792"/>
        <w:gridCol w:w="633"/>
        <w:gridCol w:w="792"/>
        <w:gridCol w:w="871"/>
      </w:tblGrid>
      <w:tr>
        <w:trPr>
          <w:tblHeader w:val="true"/>
        </w:trPr>
        <w:tc>
          <w:tcPr/>
          <w:p>
            <w:pPr>
              <w:pStyle w:val="Compact"/>
              <w:jc w:val="left"/>
            </w:pPr>
            <w:r>
              <w:t xml:space="preserve">Model</w:t>
            </w:r>
          </w:p>
        </w:tc>
        <w:tc>
          <w:tcPr/>
          <w:p>
            <w:pPr>
              <w:pStyle w:val="Compact"/>
              <w:jc w:val="left"/>
            </w:pPr>
            <w:r>
              <w:t xml:space="preserve">term</w:t>
            </w: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Enjoyment</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1111.93</w:t>
            </w:r>
          </w:p>
        </w:tc>
        <w:tc>
          <w:tcPr/>
          <w:p>
            <w:pPr>
              <w:pStyle w:val="Compact"/>
              <w:jc w:val="right"/>
            </w:pPr>
            <w:r>
              <w:t xml:space="preserve">555.97</w:t>
            </w:r>
          </w:p>
        </w:tc>
        <w:tc>
          <w:tcPr/>
          <w:p>
            <w:pPr>
              <w:pStyle w:val="Compact"/>
              <w:jc w:val="right"/>
            </w:pPr>
            <w:r>
              <w:t xml:space="preserve">318.90</w:t>
            </w:r>
          </w:p>
        </w:tc>
        <w:tc>
          <w:tcPr/>
          <w:p>
            <w:pPr>
              <w:pStyle w:val="Compact"/>
              <w:jc w:val="left"/>
            </w:pPr>
            <w:r>
              <w:t xml:space="preserve">3.617e-130</w:t>
            </w:r>
          </w:p>
        </w:tc>
      </w:tr>
      <w:tr>
        <w:tc>
          <w:tcPr/>
          <w:p>
            <w:pPr>
              <w:pStyle w:val="Compact"/>
              <w:jc w:val="left"/>
            </w:pPr>
            <w:r>
              <w:t xml:space="preserve">Enjoyment</w:t>
            </w:r>
          </w:p>
        </w:tc>
        <w:tc>
          <w:tcPr/>
          <w:p>
            <w:pPr>
              <w:pStyle w:val="Compact"/>
              <w:jc w:val="left"/>
            </w:pPr>
            <w:r>
              <w:t xml:space="preserve">Residual</w:t>
            </w:r>
          </w:p>
        </w:tc>
        <w:tc>
          <w:tcPr/>
          <w:p>
            <w:pPr>
              <w:pStyle w:val="Compact"/>
              <w:jc w:val="right"/>
            </w:pPr>
            <w:r>
              <w:t xml:space="preserve">4457</w:t>
            </w:r>
          </w:p>
        </w:tc>
        <w:tc>
          <w:tcPr/>
          <w:p>
            <w:pPr>
              <w:pStyle w:val="Compact"/>
              <w:jc w:val="right"/>
            </w:pPr>
            <w:r>
              <w:t xml:space="preserve">7770.25</w:t>
            </w:r>
          </w:p>
        </w:tc>
        <w:tc>
          <w:tcPr/>
          <w:p>
            <w:pPr>
              <w:pStyle w:val="Compact"/>
              <w:jc w:val="right"/>
            </w:pPr>
            <w:r>
              <w:t xml:space="preserve">1.74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Mood Improve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1195.46</w:t>
            </w:r>
          </w:p>
        </w:tc>
        <w:tc>
          <w:tcPr/>
          <w:p>
            <w:pPr>
              <w:pStyle w:val="Compact"/>
              <w:jc w:val="right"/>
            </w:pPr>
            <w:r>
              <w:t xml:space="preserve">597.73</w:t>
            </w:r>
          </w:p>
        </w:tc>
        <w:tc>
          <w:tcPr/>
          <w:p>
            <w:pPr>
              <w:pStyle w:val="Compact"/>
              <w:jc w:val="right"/>
            </w:pPr>
            <w:r>
              <w:t xml:space="preserve">432.40</w:t>
            </w:r>
          </w:p>
        </w:tc>
        <w:tc>
          <w:tcPr/>
          <w:p>
            <w:pPr>
              <w:pStyle w:val="Compact"/>
              <w:jc w:val="left"/>
            </w:pPr>
            <w:r>
              <w:t xml:space="preserve">1.766e-172</w:t>
            </w:r>
          </w:p>
        </w:tc>
      </w:tr>
      <w:tr>
        <w:tc>
          <w:tcPr/>
          <w:p>
            <w:pPr>
              <w:pStyle w:val="Compact"/>
              <w:jc w:val="left"/>
            </w:pPr>
            <w:r>
              <w:t xml:space="preserve">Mood Improve</w:t>
            </w:r>
          </w:p>
        </w:tc>
        <w:tc>
          <w:tcPr/>
          <w:p>
            <w:pPr>
              <w:pStyle w:val="Compact"/>
              <w:jc w:val="left"/>
            </w:pPr>
            <w:r>
              <w:t xml:space="preserve">Residual</w:t>
            </w:r>
          </w:p>
        </w:tc>
        <w:tc>
          <w:tcPr/>
          <w:p>
            <w:pPr>
              <w:pStyle w:val="Compact"/>
              <w:jc w:val="right"/>
            </w:pPr>
            <w:r>
              <w:t xml:space="preserve">4496</w:t>
            </w:r>
          </w:p>
        </w:tc>
        <w:tc>
          <w:tcPr/>
          <w:p>
            <w:pPr>
              <w:pStyle w:val="Compact"/>
              <w:jc w:val="right"/>
            </w:pPr>
            <w:r>
              <w:t xml:space="preserve">6215.15</w:t>
            </w:r>
          </w:p>
        </w:tc>
        <w:tc>
          <w:tcPr/>
          <w:p>
            <w:pPr>
              <w:pStyle w:val="Compact"/>
              <w:jc w:val="right"/>
            </w:pPr>
            <w:r>
              <w:t xml:space="preserve">1.38</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Avoidance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3663.51</w:t>
            </w:r>
          </w:p>
        </w:tc>
        <w:tc>
          <w:tcPr/>
          <w:p>
            <w:pPr>
              <w:pStyle w:val="Compact"/>
              <w:jc w:val="right"/>
            </w:pPr>
            <w:r>
              <w:t xml:space="preserve">1831.76</w:t>
            </w:r>
          </w:p>
        </w:tc>
        <w:tc>
          <w:tcPr/>
          <w:p>
            <w:pPr>
              <w:pStyle w:val="Compact"/>
              <w:jc w:val="right"/>
            </w:pPr>
            <w:r>
              <w:t xml:space="preserve">1371.51</w:t>
            </w:r>
          </w:p>
        </w:tc>
        <w:tc>
          <w:tcPr/>
          <w:p>
            <w:pPr>
              <w:pStyle w:val="Compact"/>
              <w:jc w:val="left"/>
            </w:pPr>
            <w:r>
              <w:t xml:space="preserve">0.000e+00</w:t>
            </w:r>
          </w:p>
        </w:tc>
      </w:tr>
      <w:tr>
        <w:tc>
          <w:tcPr/>
          <w:p>
            <w:pPr>
              <w:pStyle w:val="Compact"/>
              <w:jc w:val="left"/>
            </w:pPr>
            <w:r>
              <w:t xml:space="preserve">Avoidance</w:t>
            </w:r>
          </w:p>
        </w:tc>
        <w:tc>
          <w:tcPr/>
          <w:p>
            <w:pPr>
              <w:pStyle w:val="Compact"/>
              <w:jc w:val="left"/>
            </w:pPr>
            <w:r>
              <w:t xml:space="preserve">Residual</w:t>
            </w:r>
          </w:p>
        </w:tc>
        <w:tc>
          <w:tcPr/>
          <w:p>
            <w:pPr>
              <w:pStyle w:val="Compact"/>
              <w:jc w:val="right"/>
            </w:pPr>
            <w:r>
              <w:t xml:space="preserve">4477</w:t>
            </w:r>
          </w:p>
        </w:tc>
        <w:tc>
          <w:tcPr/>
          <w:p>
            <w:pPr>
              <w:pStyle w:val="Compact"/>
              <w:jc w:val="right"/>
            </w:pPr>
            <w:r>
              <w:t xml:space="preserve">5979.40</w:t>
            </w:r>
          </w:p>
        </w:tc>
        <w:tc>
          <w:tcPr/>
          <w:p>
            <w:pPr>
              <w:pStyle w:val="Compact"/>
              <w:jc w:val="right"/>
            </w:pPr>
            <w:r>
              <w:t xml:space="preserve">1.34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Rigidity</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2740.93</w:t>
            </w:r>
          </w:p>
        </w:tc>
        <w:tc>
          <w:tcPr/>
          <w:p>
            <w:pPr>
              <w:pStyle w:val="Compact"/>
              <w:jc w:val="right"/>
            </w:pPr>
            <w:r>
              <w:t xml:space="preserve">1370.47</w:t>
            </w:r>
          </w:p>
        </w:tc>
        <w:tc>
          <w:tcPr/>
          <w:p>
            <w:pPr>
              <w:pStyle w:val="Compact"/>
              <w:jc w:val="right"/>
            </w:pPr>
            <w:r>
              <w:t xml:space="preserve">889.09</w:t>
            </w:r>
          </w:p>
        </w:tc>
        <w:tc>
          <w:tcPr/>
          <w:p>
            <w:pPr>
              <w:pStyle w:val="Compact"/>
              <w:jc w:val="left"/>
            </w:pPr>
            <w:r>
              <w:t xml:space="preserve">0.000e+00</w:t>
            </w:r>
          </w:p>
        </w:tc>
      </w:tr>
      <w:tr>
        <w:tc>
          <w:tcPr/>
          <w:p>
            <w:pPr>
              <w:pStyle w:val="Compact"/>
              <w:jc w:val="left"/>
            </w:pPr>
            <w:r>
              <w:t xml:space="preserve">Rigidity</w:t>
            </w:r>
          </w:p>
        </w:tc>
        <w:tc>
          <w:tcPr/>
          <w:p>
            <w:pPr>
              <w:pStyle w:val="Compact"/>
              <w:jc w:val="left"/>
            </w:pPr>
            <w:r>
              <w:t xml:space="preserve">Residual</w:t>
            </w:r>
          </w:p>
        </w:tc>
        <w:tc>
          <w:tcPr/>
          <w:p>
            <w:pPr>
              <w:pStyle w:val="Compact"/>
              <w:jc w:val="right"/>
            </w:pPr>
            <w:r>
              <w:t xml:space="preserve">4449</w:t>
            </w:r>
          </w:p>
        </w:tc>
        <w:tc>
          <w:tcPr/>
          <w:p>
            <w:pPr>
              <w:pStyle w:val="Compact"/>
              <w:jc w:val="right"/>
            </w:pPr>
            <w:r>
              <w:t xml:space="preserve">6857.77</w:t>
            </w:r>
          </w:p>
        </w:tc>
        <w:tc>
          <w:tcPr/>
          <w:p>
            <w:pPr>
              <w:pStyle w:val="Compact"/>
              <w:jc w:val="right"/>
            </w:pPr>
            <w:r>
              <w:t xml:space="preserve">1.54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Wt Control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1738.07</w:t>
            </w:r>
          </w:p>
        </w:tc>
        <w:tc>
          <w:tcPr/>
          <w:p>
            <w:pPr>
              <w:pStyle w:val="Compact"/>
              <w:jc w:val="right"/>
            </w:pPr>
            <w:r>
              <w:t xml:space="preserve">869.03</w:t>
            </w:r>
          </w:p>
        </w:tc>
        <w:tc>
          <w:tcPr/>
          <w:p>
            <w:pPr>
              <w:pStyle w:val="Compact"/>
              <w:jc w:val="right"/>
            </w:pPr>
            <w:r>
              <w:t xml:space="preserve">671.22</w:t>
            </w:r>
          </w:p>
        </w:tc>
        <w:tc>
          <w:tcPr/>
          <w:p>
            <w:pPr>
              <w:pStyle w:val="Compact"/>
              <w:jc w:val="left"/>
            </w:pPr>
            <w:r>
              <w:t xml:space="preserve">7.899e-256</w:t>
            </w:r>
          </w:p>
        </w:tc>
      </w:tr>
      <w:tr>
        <w:tc>
          <w:tcPr/>
          <w:p>
            <w:pPr>
              <w:pStyle w:val="Compact"/>
              <w:jc w:val="left"/>
            </w:pPr>
            <w:r>
              <w:t xml:space="preserve">Wt Control</w:t>
            </w:r>
          </w:p>
        </w:tc>
        <w:tc>
          <w:tcPr/>
          <w:p>
            <w:pPr>
              <w:pStyle w:val="Compact"/>
              <w:jc w:val="left"/>
            </w:pPr>
            <w:r>
              <w:t xml:space="preserve">Residual</w:t>
            </w:r>
          </w:p>
        </w:tc>
        <w:tc>
          <w:tcPr/>
          <w:p>
            <w:pPr>
              <w:pStyle w:val="Compact"/>
              <w:jc w:val="right"/>
            </w:pPr>
            <w:r>
              <w:t xml:space="preserve">4499</w:t>
            </w:r>
          </w:p>
        </w:tc>
        <w:tc>
          <w:tcPr/>
          <w:p>
            <w:pPr>
              <w:pStyle w:val="Compact"/>
              <w:jc w:val="right"/>
            </w:pPr>
            <w:r>
              <w:t xml:space="preserve">5824.88</w:t>
            </w:r>
          </w:p>
        </w:tc>
        <w:tc>
          <w:tcPr/>
          <w:p>
            <w:pPr>
              <w:pStyle w:val="Compact"/>
              <w:jc w:val="right"/>
            </w:pPr>
            <w:r>
              <w:t xml:space="preserve">1.29</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Total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15992.41</w:t>
            </w:r>
          </w:p>
        </w:tc>
        <w:tc>
          <w:tcPr/>
          <w:p>
            <w:pPr>
              <w:pStyle w:val="Compact"/>
              <w:jc w:val="right"/>
            </w:pPr>
            <w:r>
              <w:t xml:space="preserve">7996.21</w:t>
            </w:r>
          </w:p>
        </w:tc>
        <w:tc>
          <w:tcPr/>
          <w:p>
            <w:pPr>
              <w:pStyle w:val="Compact"/>
              <w:jc w:val="right"/>
            </w:pPr>
            <w:r>
              <w:t xml:space="preserve">162.35</w:t>
            </w:r>
          </w:p>
        </w:tc>
        <w:tc>
          <w:tcPr/>
          <w:p>
            <w:pPr>
              <w:pStyle w:val="Compact"/>
              <w:jc w:val="left"/>
            </w:pPr>
            <w:r>
              <w:t xml:space="preserve">1.180e-69</w:t>
            </w:r>
          </w:p>
        </w:tc>
      </w:tr>
      <w:tr>
        <w:tc>
          <w:tcPr/>
          <w:p>
            <w:pPr>
              <w:pStyle w:val="Compact"/>
              <w:jc w:val="left"/>
            </w:pPr>
            <w:r>
              <w:t xml:space="preserve">Total</w:t>
            </w:r>
          </w:p>
        </w:tc>
        <w:tc>
          <w:tcPr/>
          <w:p>
            <w:pPr>
              <w:pStyle w:val="Compact"/>
              <w:jc w:val="left"/>
            </w:pPr>
            <w:r>
              <w:t xml:space="preserve">Residual</w:t>
            </w:r>
          </w:p>
        </w:tc>
        <w:tc>
          <w:tcPr/>
          <w:p>
            <w:pPr>
              <w:pStyle w:val="Compact"/>
              <w:jc w:val="right"/>
            </w:pPr>
            <w:r>
              <w:t xml:space="preserve">7032</w:t>
            </w:r>
          </w:p>
        </w:tc>
        <w:tc>
          <w:tcPr/>
          <w:p>
            <w:pPr>
              <w:pStyle w:val="Compact"/>
              <w:jc w:val="right"/>
            </w:pPr>
            <w:r>
              <w:t xml:space="preserve">346346.90</w:t>
            </w:r>
          </w:p>
        </w:tc>
        <w:tc>
          <w:tcPr/>
          <w:p>
            <w:pPr>
              <w:pStyle w:val="Compact"/>
              <w:jc w:val="right"/>
            </w:pPr>
            <w:r>
              <w:t xml:space="preserve">49.25</w:t>
            </w:r>
          </w:p>
        </w:tc>
        <w:tc>
          <w:tcPr/>
          <w:p>
            <w:pPr>
              <w:pStyle w:val="Compact"/>
              <w:jc w:val="right"/>
            </w:pPr>
            <w:r>
              <w:t xml:space="preserve">NA</w:t>
            </w:r>
          </w:p>
        </w:tc>
        <w:tc>
          <w:tcPr/>
          <w:p>
            <w:pPr>
              <w:pStyle w:val="Compact"/>
              <w:jc w:val="left"/>
            </w:pPr>
            <w:r>
              <w:t xml:space="preserve">NA</w:t>
            </w:r>
          </w:p>
        </w:tc>
      </w:tr>
    </w:tbl>
    <w:bookmarkEnd w:id="40"/>
    <w:p>
      <w:pPr>
        <w:pStyle w:val="BodyText"/>
      </w:pPr>
      <w:hyperlink w:anchor="tbl-CETcontrasts">
        <w:r>
          <w:rPr>
            <w:rStyle w:val="Hyperlink"/>
          </w:rPr>
          <w:t xml:space="preserve">Table 2</w:t>
        </w:r>
      </w:hyperlink>
      <w:r>
        <w:t xml:space="preserve"> </w:t>
      </w:r>
      <w:r>
        <w:t xml:space="preserve">presents specific contrasts between each group, using a Tukey’s HSD approach with adjusted p-values. All contrasts reach significance (confidence intervals of differences not overlapping</w:t>
      </w:r>
      <w:r>
        <w:t xml:space="preserve"> </w:t>
      </w:r>
      <w:r>
        <w:t xml:space="preserve">‘</w:t>
      </w:r>
      <w:r>
        <w:t xml:space="preserve">0</w:t>
      </w:r>
      <w:r>
        <w:t xml:space="preserve">’</w:t>
      </w:r>
      <w:r>
        <w:t xml:space="preserve">). Cohen’s D effects suggest a pattern of moderate effect size when comparing those with no history of compulsive exercise to those with a history, but not current, compulsive exercise and when comparing those with history vs. current compulsive exercise. Comparison of those with no history of compulsive exercise vs. current compulsive exercise consistently demonstrated large effects. For all subscales with the exception of the enjoyment subscale, effects indicated that those with current compulsive exercise scored highest, while those with no history of compuslive exercise scored the highest on the lack of exercise enjoyment subscale.</w:t>
      </w:r>
    </w:p>
    <w:bookmarkStart w:id="41" w:name="tbl-CETcontrasts"/>
    <w:p>
      <w:pPr>
        <w:pStyle w:val="TableCaption"/>
      </w:pPr>
      <w:r>
        <w:t xml:space="preserve">Table 2: Contrasts for each of the five CET subscales and the CET Total across those with and without history and current compulsive exercise as reported on the ED100k</w:t>
      </w:r>
    </w:p>
    <w:tbl>
      <w:tblPr>
        <w:tblStyle w:val="Table"/>
        <w:tblW w:type="pct" w:w="5000"/>
        <w:tblLook w:firstRow="1" w:lastRow="0" w:firstColumn="0" w:lastColumn="0" w:noHBand="0" w:noVBand="0" w:val="0020"/>
        <w:tblCaption w:val="Table 2: Contrasts for each of the five CET subscales and the CET Total across those with and without history and current compulsive exercise as reported on the ED100k"/>
      </w:tblPr>
      <w:tblGrid>
        <w:gridCol w:w="1450"/>
        <w:gridCol w:w="2677"/>
        <w:gridCol w:w="2900"/>
        <w:gridCol w:w="892"/>
      </w:tblGrid>
      <w:tr>
        <w:trPr>
          <w:tblHeader w:val="true"/>
        </w:trPr>
        <w:tc>
          <w:tcPr/>
          <w:p>
            <w:pPr>
              <w:pStyle w:val="Compact"/>
              <w:jc w:val="left"/>
            </w:pPr>
            <w:r>
              <w:t xml:space="preserve">Variable</w:t>
            </w:r>
          </w:p>
        </w:tc>
        <w:tc>
          <w:tcPr/>
          <w:p>
            <w:pPr>
              <w:pStyle w:val="Compact"/>
              <w:jc w:val="left"/>
            </w:pPr>
            <w:r>
              <w:t xml:space="preserve">Contrast</w:t>
            </w:r>
          </w:p>
        </w:tc>
        <w:tc>
          <w:tcPr/>
          <w:p>
            <w:pPr>
              <w:pStyle w:val="Compact"/>
              <w:jc w:val="left"/>
            </w:pPr>
            <w:r>
              <w:t xml:space="preserve">Difference</w:t>
            </w:r>
          </w:p>
        </w:tc>
        <w:tc>
          <w:tcPr/>
          <w:p>
            <w:pPr>
              <w:pStyle w:val="Compact"/>
              <w:jc w:val="right"/>
            </w:pPr>
            <w:r>
              <w:t xml:space="preserve">CohensD</w:t>
            </w:r>
          </w:p>
        </w:tc>
      </w:tr>
      <w:tr>
        <w:tc>
          <w:tcPr/>
          <w:p>
            <w:pPr>
              <w:pStyle w:val="Compact"/>
              <w:jc w:val="left"/>
            </w:pPr>
            <w:r>
              <w:t xml:space="preserve">Enjoy</w:t>
            </w:r>
          </w:p>
        </w:tc>
        <w:tc>
          <w:tcPr/>
          <w:p>
            <w:pPr>
              <w:pStyle w:val="Compact"/>
              <w:jc w:val="left"/>
            </w:pPr>
            <w:r>
              <w:t xml:space="preserve">No vs Hx of Exercise</w:t>
            </w:r>
          </w:p>
        </w:tc>
        <w:tc>
          <w:tcPr/>
          <w:p>
            <w:pPr>
              <w:pStyle w:val="Compact"/>
              <w:jc w:val="left"/>
            </w:pPr>
            <w:r>
              <w:t xml:space="preserve">-0.838 ( -0.983, -0.694 )</w:t>
            </w:r>
          </w:p>
        </w:tc>
        <w:tc>
          <w:tcPr/>
          <w:p>
            <w:pPr>
              <w:pStyle w:val="Compact"/>
              <w:jc w:val="right"/>
            </w:pPr>
            <w:r>
              <w:t xml:space="preserve">0.594</w:t>
            </w:r>
          </w:p>
        </w:tc>
      </w:tr>
      <w:tr>
        <w:tc>
          <w:tcPr/>
          <w:p>
            <w:pPr>
              <w:pStyle w:val="Compact"/>
              <w:jc w:val="left"/>
            </w:pPr>
            <w:r>
              <w:t xml:space="preserve">Enjoy</w:t>
            </w:r>
          </w:p>
        </w:tc>
        <w:tc>
          <w:tcPr/>
          <w:p>
            <w:pPr>
              <w:pStyle w:val="Compact"/>
              <w:jc w:val="left"/>
            </w:pPr>
            <w:r>
              <w:t xml:space="preserve">No vs. Current Exercise</w:t>
            </w:r>
          </w:p>
        </w:tc>
        <w:tc>
          <w:tcPr/>
          <w:p>
            <w:pPr>
              <w:pStyle w:val="Compact"/>
              <w:jc w:val="left"/>
            </w:pPr>
            <w:r>
              <w:t xml:space="preserve">-1.503 ( -1.649, -1.356 )</w:t>
            </w:r>
          </w:p>
        </w:tc>
        <w:tc>
          <w:tcPr/>
          <w:p>
            <w:pPr>
              <w:pStyle w:val="Compact"/>
              <w:jc w:val="right"/>
            </w:pPr>
            <w:r>
              <w:t xml:space="preserve">1.224</w:t>
            </w:r>
          </w:p>
        </w:tc>
      </w:tr>
      <w:tr>
        <w:tc>
          <w:tcPr/>
          <w:p>
            <w:pPr>
              <w:pStyle w:val="Compact"/>
              <w:jc w:val="left"/>
            </w:pPr>
            <w:r>
              <w:t xml:space="preserve">Enjoy</w:t>
            </w:r>
          </w:p>
        </w:tc>
        <w:tc>
          <w:tcPr/>
          <w:p>
            <w:pPr>
              <w:pStyle w:val="Compact"/>
              <w:jc w:val="left"/>
            </w:pPr>
            <w:r>
              <w:t xml:space="preserve">Hx vs. Current Exercise</w:t>
            </w:r>
          </w:p>
        </w:tc>
        <w:tc>
          <w:tcPr/>
          <w:p>
            <w:pPr>
              <w:pStyle w:val="Compact"/>
              <w:jc w:val="left"/>
            </w:pPr>
            <w:r>
              <w:t xml:space="preserve">-0.664 ( -0.764, -0.565 )</w:t>
            </w:r>
          </w:p>
        </w:tc>
        <w:tc>
          <w:tcPr/>
          <w:p>
            <w:pPr>
              <w:pStyle w:val="Compact"/>
              <w:jc w:val="right"/>
            </w:pPr>
            <w:r>
              <w:t xml:space="preserve">0.506</w:t>
            </w:r>
          </w:p>
        </w:tc>
      </w:tr>
      <w:tr>
        <w:tc>
          <w:tcPr/>
          <w:p>
            <w:pPr>
              <w:pStyle w:val="Compact"/>
              <w:jc w:val="left"/>
            </w:pPr>
            <w:r>
              <w:t xml:space="preserve">Mood Improve</w:t>
            </w:r>
          </w:p>
        </w:tc>
        <w:tc>
          <w:tcPr/>
          <w:p>
            <w:pPr>
              <w:pStyle w:val="Compact"/>
              <w:jc w:val="left"/>
            </w:pPr>
            <w:r>
              <w:t xml:space="preserve">No vs Hx of Exercise</w:t>
            </w:r>
          </w:p>
        </w:tc>
        <w:tc>
          <w:tcPr/>
          <w:p>
            <w:pPr>
              <w:pStyle w:val="Compact"/>
              <w:jc w:val="left"/>
            </w:pPr>
            <w:r>
              <w:t xml:space="preserve">0.803 ( 0.675, 0.931 )</w:t>
            </w:r>
          </w:p>
        </w:tc>
        <w:tc>
          <w:tcPr/>
          <w:p>
            <w:pPr>
              <w:pStyle w:val="Compact"/>
              <w:jc w:val="right"/>
            </w:pPr>
            <w:r>
              <w:t xml:space="preserve">-0.637</w:t>
            </w:r>
          </w:p>
        </w:tc>
      </w:tr>
      <w:tr>
        <w:tc>
          <w:tcPr/>
          <w:p>
            <w:pPr>
              <w:pStyle w:val="Compact"/>
              <w:jc w:val="left"/>
            </w:pPr>
            <w:r>
              <w:t xml:space="preserve">Mood Improve</w:t>
            </w:r>
          </w:p>
        </w:tc>
        <w:tc>
          <w:tcPr/>
          <w:p>
            <w:pPr>
              <w:pStyle w:val="Compact"/>
              <w:jc w:val="left"/>
            </w:pPr>
            <w:r>
              <w:t xml:space="preserve">No vs. Current Exercise</w:t>
            </w:r>
          </w:p>
        </w:tc>
        <w:tc>
          <w:tcPr/>
          <w:p>
            <w:pPr>
              <w:pStyle w:val="Compact"/>
              <w:jc w:val="left"/>
            </w:pPr>
            <w:r>
              <w:t xml:space="preserve">1.524 ( 1.395, 1.653 )</w:t>
            </w:r>
          </w:p>
        </w:tc>
        <w:tc>
          <w:tcPr/>
          <w:p>
            <w:pPr>
              <w:pStyle w:val="Compact"/>
              <w:jc w:val="right"/>
            </w:pPr>
            <w:r>
              <w:t xml:space="preserve">-1.333</w:t>
            </w:r>
          </w:p>
        </w:tc>
      </w:tr>
      <w:tr>
        <w:tc>
          <w:tcPr/>
          <w:p>
            <w:pPr>
              <w:pStyle w:val="Compact"/>
              <w:jc w:val="left"/>
            </w:pPr>
            <w:r>
              <w:t xml:space="preserve">Mood Improve</w:t>
            </w:r>
          </w:p>
        </w:tc>
        <w:tc>
          <w:tcPr/>
          <w:p>
            <w:pPr>
              <w:pStyle w:val="Compact"/>
              <w:jc w:val="left"/>
            </w:pPr>
            <w:r>
              <w:t xml:space="preserve">Hx vs. Current Exercise</w:t>
            </w:r>
          </w:p>
        </w:tc>
        <w:tc>
          <w:tcPr/>
          <w:p>
            <w:pPr>
              <w:pStyle w:val="Compact"/>
              <w:jc w:val="left"/>
            </w:pPr>
            <w:r>
              <w:t xml:space="preserve">0.722 ( 0.633, 0.81 )</w:t>
            </w:r>
          </w:p>
        </w:tc>
        <w:tc>
          <w:tcPr/>
          <w:p>
            <w:pPr>
              <w:pStyle w:val="Compact"/>
              <w:jc w:val="right"/>
            </w:pPr>
            <w:r>
              <w:t xml:space="preserve">-0.635</w:t>
            </w:r>
          </w:p>
        </w:tc>
      </w:tr>
      <w:tr>
        <w:tc>
          <w:tcPr/>
          <w:p>
            <w:pPr>
              <w:pStyle w:val="Compact"/>
              <w:jc w:val="left"/>
            </w:pPr>
            <w:r>
              <w:t xml:space="preserve">Rigidity</w:t>
            </w:r>
          </w:p>
        </w:tc>
        <w:tc>
          <w:tcPr/>
          <w:p>
            <w:pPr>
              <w:pStyle w:val="Compact"/>
              <w:jc w:val="left"/>
            </w:pPr>
            <w:r>
              <w:t xml:space="preserve">No vs Hx of Exercise</w:t>
            </w:r>
          </w:p>
        </w:tc>
        <w:tc>
          <w:tcPr/>
          <w:p>
            <w:pPr>
              <w:pStyle w:val="Compact"/>
              <w:jc w:val="left"/>
            </w:pPr>
            <w:r>
              <w:t xml:space="preserve">0.762 ( 0.626, 0.898 )</w:t>
            </w:r>
          </w:p>
        </w:tc>
        <w:tc>
          <w:tcPr/>
          <w:p>
            <w:pPr>
              <w:pStyle w:val="Compact"/>
              <w:jc w:val="right"/>
            </w:pPr>
            <w:r>
              <w:t xml:space="preserve">-0.589</w:t>
            </w:r>
          </w:p>
        </w:tc>
      </w:tr>
      <w:tr>
        <w:tc>
          <w:tcPr/>
          <w:p>
            <w:pPr>
              <w:pStyle w:val="Compact"/>
              <w:jc w:val="left"/>
            </w:pPr>
            <w:r>
              <w:t xml:space="preserve">Rigidity</w:t>
            </w:r>
          </w:p>
        </w:tc>
        <w:tc>
          <w:tcPr/>
          <w:p>
            <w:pPr>
              <w:pStyle w:val="Compact"/>
              <w:jc w:val="left"/>
            </w:pPr>
            <w:r>
              <w:t xml:space="preserve">No vs. Current Exercise</w:t>
            </w:r>
          </w:p>
        </w:tc>
        <w:tc>
          <w:tcPr/>
          <w:p>
            <w:pPr>
              <w:pStyle w:val="Compact"/>
              <w:jc w:val="left"/>
            </w:pPr>
            <w:r>
              <w:t xml:space="preserve">2.102 ( 1.964, 2.239 )</w:t>
            </w:r>
          </w:p>
        </w:tc>
        <w:tc>
          <w:tcPr/>
          <w:p>
            <w:pPr>
              <w:pStyle w:val="Compact"/>
              <w:jc w:val="right"/>
            </w:pPr>
            <w:r>
              <w:t xml:space="preserve">-1.770</w:t>
            </w:r>
          </w:p>
        </w:tc>
      </w:tr>
      <w:tr>
        <w:tc>
          <w:tcPr/>
          <w:p>
            <w:pPr>
              <w:pStyle w:val="Compact"/>
              <w:jc w:val="left"/>
            </w:pPr>
            <w:r>
              <w:t xml:space="preserve">Rigidity</w:t>
            </w:r>
          </w:p>
        </w:tc>
        <w:tc>
          <w:tcPr/>
          <w:p>
            <w:pPr>
              <w:pStyle w:val="Compact"/>
              <w:jc w:val="left"/>
            </w:pPr>
            <w:r>
              <w:t xml:space="preserve">Hx vs. Current Exercise</w:t>
            </w:r>
          </w:p>
        </w:tc>
        <w:tc>
          <w:tcPr/>
          <w:p>
            <w:pPr>
              <w:pStyle w:val="Compact"/>
              <w:jc w:val="left"/>
            </w:pPr>
            <w:r>
              <w:t xml:space="preserve">1.34 ( 1.246, 1.433 )</w:t>
            </w:r>
          </w:p>
        </w:tc>
        <w:tc>
          <w:tcPr/>
          <w:p>
            <w:pPr>
              <w:pStyle w:val="Compact"/>
              <w:jc w:val="right"/>
            </w:pPr>
            <w:r>
              <w:t xml:space="preserve">-1.081</w:t>
            </w:r>
          </w:p>
        </w:tc>
      </w:tr>
      <w:tr>
        <w:tc>
          <w:tcPr/>
          <w:p>
            <w:pPr>
              <w:pStyle w:val="Compact"/>
              <w:jc w:val="left"/>
            </w:pPr>
            <w:r>
              <w:t xml:space="preserve">Wt Control</w:t>
            </w:r>
          </w:p>
        </w:tc>
        <w:tc>
          <w:tcPr/>
          <w:p>
            <w:pPr>
              <w:pStyle w:val="Compact"/>
              <w:jc w:val="left"/>
            </w:pPr>
            <w:r>
              <w:t xml:space="preserve">No vs Hx of Exercise</w:t>
            </w:r>
          </w:p>
        </w:tc>
        <w:tc>
          <w:tcPr/>
          <w:p>
            <w:pPr>
              <w:pStyle w:val="Compact"/>
              <w:jc w:val="left"/>
            </w:pPr>
            <w:r>
              <w:t xml:space="preserve">0.697 ( 0.573, 0.821 )</w:t>
            </w:r>
          </w:p>
        </w:tc>
        <w:tc>
          <w:tcPr/>
          <w:p>
            <w:pPr>
              <w:pStyle w:val="Compact"/>
              <w:jc w:val="right"/>
            </w:pPr>
            <w:r>
              <w:t xml:space="preserve">-0.563</w:t>
            </w:r>
          </w:p>
        </w:tc>
      </w:tr>
      <w:tr>
        <w:tc>
          <w:tcPr/>
          <w:p>
            <w:pPr>
              <w:pStyle w:val="Compact"/>
              <w:jc w:val="left"/>
            </w:pPr>
            <w:r>
              <w:t xml:space="preserve">Wt Control</w:t>
            </w:r>
          </w:p>
        </w:tc>
        <w:tc>
          <w:tcPr/>
          <w:p>
            <w:pPr>
              <w:pStyle w:val="Compact"/>
              <w:jc w:val="left"/>
            </w:pPr>
            <w:r>
              <w:t xml:space="preserve">No vs. Current Exercise</w:t>
            </w:r>
          </w:p>
        </w:tc>
        <w:tc>
          <w:tcPr/>
          <w:p>
            <w:pPr>
              <w:pStyle w:val="Compact"/>
              <w:jc w:val="left"/>
            </w:pPr>
            <w:r>
              <w:t xml:space="preserve">1.713 ( 1.588, 1.838 )</w:t>
            </w:r>
          </w:p>
        </w:tc>
        <w:tc>
          <w:tcPr/>
          <w:p>
            <w:pPr>
              <w:pStyle w:val="Compact"/>
              <w:jc w:val="right"/>
            </w:pPr>
            <w:r>
              <w:t xml:space="preserve">-1.682</w:t>
            </w:r>
          </w:p>
        </w:tc>
      </w:tr>
      <w:tr>
        <w:tc>
          <w:tcPr/>
          <w:p>
            <w:pPr>
              <w:pStyle w:val="Compact"/>
              <w:jc w:val="left"/>
            </w:pPr>
            <w:r>
              <w:t xml:space="preserve">Wt Control</w:t>
            </w:r>
          </w:p>
        </w:tc>
        <w:tc>
          <w:tcPr/>
          <w:p>
            <w:pPr>
              <w:pStyle w:val="Compact"/>
              <w:jc w:val="left"/>
            </w:pPr>
            <w:r>
              <w:t xml:space="preserve">Hx vs. Current Exercise</w:t>
            </w:r>
          </w:p>
        </w:tc>
        <w:tc>
          <w:tcPr/>
          <w:p>
            <w:pPr>
              <w:pStyle w:val="Compact"/>
              <w:jc w:val="left"/>
            </w:pPr>
            <w:r>
              <w:t xml:space="preserve">1.016 ( 0.931, 1.102 )</w:t>
            </w:r>
          </w:p>
        </w:tc>
        <w:tc>
          <w:tcPr/>
          <w:p>
            <w:pPr>
              <w:pStyle w:val="Compact"/>
              <w:jc w:val="right"/>
            </w:pPr>
            <w:r>
              <w:t xml:space="preserve">-0.893</w:t>
            </w:r>
          </w:p>
        </w:tc>
      </w:tr>
      <w:tr>
        <w:tc>
          <w:tcPr/>
          <w:p>
            <w:pPr>
              <w:pStyle w:val="Compact"/>
              <w:jc w:val="left"/>
            </w:pPr>
            <w:r>
              <w:t xml:space="preserve">Avoidance</w:t>
            </w:r>
          </w:p>
        </w:tc>
        <w:tc>
          <w:tcPr/>
          <w:p>
            <w:pPr>
              <w:pStyle w:val="Compact"/>
              <w:jc w:val="left"/>
            </w:pPr>
            <w:r>
              <w:t xml:space="preserve">No vs Hx of Exercise</w:t>
            </w:r>
          </w:p>
        </w:tc>
        <w:tc>
          <w:tcPr/>
          <w:p>
            <w:pPr>
              <w:pStyle w:val="Compact"/>
              <w:jc w:val="left"/>
            </w:pPr>
            <w:r>
              <w:t xml:space="preserve">0.754 ( 0.628, 0.88 )</w:t>
            </w:r>
          </w:p>
        </w:tc>
        <w:tc>
          <w:tcPr/>
          <w:p>
            <w:pPr>
              <w:pStyle w:val="Compact"/>
              <w:jc w:val="right"/>
            </w:pPr>
            <w:r>
              <w:t xml:space="preserve">-0.685</w:t>
            </w:r>
          </w:p>
        </w:tc>
      </w:tr>
      <w:tr>
        <w:tc>
          <w:tcPr/>
          <w:p>
            <w:pPr>
              <w:pStyle w:val="Compact"/>
              <w:jc w:val="left"/>
            </w:pPr>
            <w:r>
              <w:t xml:space="preserve">Avoidance</w:t>
            </w:r>
          </w:p>
        </w:tc>
        <w:tc>
          <w:tcPr/>
          <w:p>
            <w:pPr>
              <w:pStyle w:val="Compact"/>
              <w:jc w:val="left"/>
            </w:pPr>
            <w:r>
              <w:t xml:space="preserve">No vs. Current Exercise</w:t>
            </w:r>
          </w:p>
        </w:tc>
        <w:tc>
          <w:tcPr/>
          <w:p>
            <w:pPr>
              <w:pStyle w:val="Compact"/>
              <w:jc w:val="left"/>
            </w:pPr>
            <w:r>
              <w:t xml:space="preserve">2.35 ( 2.223, 2.477 )</w:t>
            </w:r>
          </w:p>
        </w:tc>
        <w:tc>
          <w:tcPr/>
          <w:p>
            <w:pPr>
              <w:pStyle w:val="Compact"/>
              <w:jc w:val="right"/>
            </w:pPr>
            <w:r>
              <w:t xml:space="preserve">-2.032</w:t>
            </w:r>
          </w:p>
        </w:tc>
      </w:tr>
      <w:tr>
        <w:tc>
          <w:tcPr/>
          <w:p>
            <w:pPr>
              <w:pStyle w:val="Compact"/>
              <w:jc w:val="left"/>
            </w:pPr>
            <w:r>
              <w:t xml:space="preserve">Avoidance</w:t>
            </w:r>
          </w:p>
        </w:tc>
        <w:tc>
          <w:tcPr/>
          <w:p>
            <w:pPr>
              <w:pStyle w:val="Compact"/>
              <w:jc w:val="left"/>
            </w:pPr>
            <w:r>
              <w:t xml:space="preserve">Hx vs. Current Exercise</w:t>
            </w:r>
          </w:p>
        </w:tc>
        <w:tc>
          <w:tcPr/>
          <w:p>
            <w:pPr>
              <w:pStyle w:val="Compact"/>
              <w:jc w:val="left"/>
            </w:pPr>
            <w:r>
              <w:t xml:space="preserve">1.597 ( 1.509, 1.684 )</w:t>
            </w:r>
          </w:p>
        </w:tc>
        <w:tc>
          <w:tcPr/>
          <w:p>
            <w:pPr>
              <w:pStyle w:val="Compact"/>
              <w:jc w:val="right"/>
            </w:pPr>
            <w:r>
              <w:t xml:space="preserve">-1.340</w:t>
            </w:r>
          </w:p>
        </w:tc>
      </w:tr>
      <w:tr>
        <w:tc>
          <w:tcPr/>
          <w:p>
            <w:pPr>
              <w:pStyle w:val="Compact"/>
              <w:jc w:val="left"/>
            </w:pPr>
            <w:r>
              <w:t xml:space="preserve">Total</w:t>
            </w:r>
          </w:p>
        </w:tc>
        <w:tc>
          <w:tcPr/>
          <w:p>
            <w:pPr>
              <w:pStyle w:val="Compact"/>
              <w:jc w:val="left"/>
            </w:pPr>
            <w:r>
              <w:t xml:space="preserve">No vs Hx of Exercise</w:t>
            </w:r>
          </w:p>
        </w:tc>
        <w:tc>
          <w:tcPr/>
          <w:p>
            <w:pPr>
              <w:pStyle w:val="Compact"/>
              <w:jc w:val="left"/>
            </w:pPr>
            <w:r>
              <w:t xml:space="preserve">1.369 ( 0.759, 1.978 )</w:t>
            </w:r>
          </w:p>
        </w:tc>
        <w:tc>
          <w:tcPr/>
          <w:p>
            <w:pPr>
              <w:pStyle w:val="Compact"/>
              <w:jc w:val="right"/>
            </w:pPr>
            <w:r>
              <w:t xml:space="preserve">-0.222</w:t>
            </w:r>
          </w:p>
        </w:tc>
      </w:tr>
      <w:tr>
        <w:tc>
          <w:tcPr/>
          <w:p>
            <w:pPr>
              <w:pStyle w:val="Compact"/>
              <w:jc w:val="left"/>
            </w:pPr>
            <w:r>
              <w:t xml:space="preserve">Total</w:t>
            </w:r>
          </w:p>
        </w:tc>
        <w:tc>
          <w:tcPr/>
          <w:p>
            <w:pPr>
              <w:pStyle w:val="Compact"/>
              <w:jc w:val="left"/>
            </w:pPr>
            <w:r>
              <w:t xml:space="preserve">No vs. Current Exercise</w:t>
            </w:r>
          </w:p>
        </w:tc>
        <w:tc>
          <w:tcPr/>
          <w:p>
            <w:pPr>
              <w:pStyle w:val="Compact"/>
              <w:jc w:val="left"/>
            </w:pPr>
            <w:r>
              <w:t xml:space="preserve">3.984 ( 3.368, 4.6 )</w:t>
            </w:r>
          </w:p>
        </w:tc>
        <w:tc>
          <w:tcPr/>
          <w:p>
            <w:pPr>
              <w:pStyle w:val="Compact"/>
              <w:jc w:val="right"/>
            </w:pPr>
            <w:r>
              <w:t xml:space="preserve">-0.531</w:t>
            </w:r>
          </w:p>
        </w:tc>
      </w:tr>
      <w:tr>
        <w:tc>
          <w:tcPr/>
          <w:p>
            <w:pPr>
              <w:pStyle w:val="Compact"/>
              <w:jc w:val="left"/>
            </w:pPr>
            <w:r>
              <w:t xml:space="preserve">Total</w:t>
            </w:r>
          </w:p>
        </w:tc>
        <w:tc>
          <w:tcPr/>
          <w:p>
            <w:pPr>
              <w:pStyle w:val="Compact"/>
              <w:jc w:val="left"/>
            </w:pPr>
            <w:r>
              <w:t xml:space="preserve">Hx vs. Current Exercise</w:t>
            </w:r>
          </w:p>
        </w:tc>
        <w:tc>
          <w:tcPr/>
          <w:p>
            <w:pPr>
              <w:pStyle w:val="Compact"/>
              <w:jc w:val="left"/>
            </w:pPr>
            <w:r>
              <w:t xml:space="preserve">2.615 ( 2.193, 3.037 )</w:t>
            </w:r>
          </w:p>
        </w:tc>
        <w:tc>
          <w:tcPr/>
          <w:p>
            <w:pPr>
              <w:pStyle w:val="Compact"/>
              <w:jc w:val="right"/>
            </w:pPr>
            <w:r>
              <w:t xml:space="preserve">-0.361</w:t>
            </w:r>
          </w:p>
        </w:tc>
      </w:tr>
    </w:tbl>
    <w:bookmarkEnd w:id="41"/>
    <w:p>
      <w:pPr>
        <w:pStyle w:val="BodyText"/>
      </w:pPr>
      <w:r>
        <w:t xml:space="preserve">The proportion of individuals meeting the clinical cutoff for current compulsive exericse on the CET varied as expected by endorsement of historical and current endorsement of compulsive exercise on the ED100k. Only 5.4% of individuals who reported no history of compuslive exercise met current CET clinical cutoff, while 18.78% of those reporting history, but not current compulsive exercise met clinical cutoff on the CET, and 62.76% of individuals reporting both historical and current compulsive exercise on the ED100k met clinical cutoff for compulsive exercise on the CET. Using a multinomial logistic regression approach with</w:t>
      </w:r>
      <w:r>
        <w:t xml:space="preserve"> </w:t>
      </w:r>
      <w:r>
        <w:t xml:space="preserve">‘</w:t>
      </w:r>
      <w:r>
        <w:t xml:space="preserve">No Compulsive Exercise History</w:t>
      </w:r>
      <w:r>
        <w:t xml:space="preserve">’</w:t>
      </w:r>
      <w:r>
        <w:t xml:space="preserve"> </w:t>
      </w:r>
      <w:r>
        <w:t xml:space="preserve">on the ED100k coded as the reference category, those reporting compulsive exercise history, but not current exercise had an odds ratio of 4.05 and those reporting current compulsive exercise had an odds ratio of 29.52, indicating significant convergent validity of reports of current compulsive exericse on the ED100k (4 items comprising the historical and current compulsive exercise definition) and meeting clinical cutoff clinical cutoff on the 24-item CET. Regarding the number of days in the past 28 that participants reported engaging in</w:t>
      </w:r>
      <w:r>
        <w:t xml:space="preserve"> </w:t>
      </w:r>
      <w:r>
        <w:t xml:space="preserve">‘</w:t>
      </w:r>
      <w:r>
        <w:t xml:space="preserve">driven</w:t>
      </w:r>
      <w:r>
        <w:t xml:space="preserve">’</w:t>
      </w:r>
      <w:r>
        <w:t xml:space="preserve"> </w:t>
      </w:r>
      <w:r>
        <w:t xml:space="preserve">or</w:t>
      </w:r>
      <w:r>
        <w:t xml:space="preserve"> </w:t>
      </w:r>
      <w:r>
        <w:t xml:space="preserve">‘</w:t>
      </w:r>
      <w:r>
        <w:t xml:space="preserve">compulsive exercise on the EDEQ, outcomes were zero-inflated in the ’No History of Compulsive Exercise</w:t>
      </w:r>
      <w:r>
        <w:t xml:space="preserve">’</w:t>
      </w:r>
      <w:r>
        <w:t xml:space="preserve"> </w:t>
      </w:r>
      <w:r>
        <w:t xml:space="preserve">and</w:t>
      </w:r>
      <w:r>
        <w:t xml:space="preserve"> </w:t>
      </w:r>
      <w:r>
        <w:t xml:space="preserve">‘</w:t>
      </w:r>
      <w:r>
        <w:t xml:space="preserve">History but No Current Compulsive Exercise</w:t>
      </w:r>
      <w:r>
        <w:t xml:space="preserve">’</w:t>
      </w:r>
      <w:r>
        <w:t xml:space="preserve"> </w:t>
      </w:r>
      <w:r>
        <w:t xml:space="preserve">groups (see</w:t>
      </w:r>
      <w:r>
        <w:t xml:space="preserve"> </w:t>
      </w:r>
      <w:hyperlink w:anchor="fig-EDEQplot">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45" w:name="fig-EDEQplot"/>
          <w:p>
            <w:pPr>
              <w:pStyle w:val="Figure"/>
              <w:jc w:val="center"/>
            </w:pPr>
            <w:r>
              <w:drawing>
                <wp:inline>
                  <wp:extent cx="5334000" cy="4267200"/>
                  <wp:effectExtent b="0" l="0" r="0" t="0"/>
                  <wp:docPr descr="" title="" id="43" name="Picture"/>
                  <a:graphic>
                    <a:graphicData uri="http://schemas.openxmlformats.org/drawingml/2006/picture">
                      <pic:pic>
                        <pic:nvPicPr>
                          <pic:cNvPr descr="Validation_Paper_Analysis_files/figure-docx/fig-EDEQplot-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ED100k Compulsive Exercise vs. EDEQ Exercise Frequency</w:t>
            </w:r>
          </w:p>
          <w:bookmarkEnd w:id="45"/>
        </w:tc>
      </w:tr>
    </w:tbl>
    <w:p>
      <w:pPr>
        <w:pStyle w:val="BodyText"/>
      </w:pPr>
      <w:r>
        <w:t xml:space="preserve">A zero-inflated negative binomial regression model compared those with “History, but Not Current’ and those with</w:t>
      </w:r>
      <w:r>
        <w:t xml:space="preserve"> </w:t>
      </w:r>
      <w:r>
        <w:t xml:space="preserve">‘</w:t>
      </w:r>
      <w:r>
        <w:t xml:space="preserve">Current Compulsive Exercise</w:t>
      </w:r>
      <w:r>
        <w:t xml:space="preserve">’</w:t>
      </w:r>
      <w:r>
        <w:t xml:space="preserve"> </w:t>
      </w:r>
      <w:r>
        <w:t xml:space="preserve">to the</w:t>
      </w:r>
      <w:r>
        <w:t xml:space="preserve"> </w:t>
      </w:r>
      <w:r>
        <w:t xml:space="preserve">‘</w:t>
      </w:r>
      <w:r>
        <w:t xml:space="preserve">No History of Compulsive Exercise</w:t>
      </w:r>
      <w:r>
        <w:t xml:space="preserve">’</w:t>
      </w:r>
      <w:r>
        <w:t xml:space="preserve"> </w:t>
      </w:r>
      <w:r>
        <w:t xml:space="preserve">(reference) group on number of days with driven exercise in the past month. Results are presented in</w:t>
      </w:r>
      <w:r>
        <w:t xml:space="preserve"> </w:t>
      </w:r>
      <w:hyperlink w:anchor="tbl-EDEQZin">
        <w:r>
          <w:rPr>
            <w:rStyle w:val="Hyperlink"/>
          </w:rPr>
          <w:t xml:space="preserve">Table 3</w:t>
        </w:r>
      </w:hyperlink>
      <w:r>
        <w:t xml:space="preserve"> </w:t>
      </w:r>
      <w:r>
        <w:t xml:space="preserve">and indicate that those who report current compulsive exercise on the ED100k are less likely to hvae zero values for EDEQ-assessed exericse in the past 28 days, and report higher counts of exercise days when they do exercise. Those reporting history of, but not current, compulsive exericse on the ED100k are similarly less likely to report zero days of driven exercise on the EDEQ as compared to those who report no history of compulsive exercise, though the count portion of the model indicates that those reporting history, but not current, compulsive exercise are reporting low numbers of exercise days when it occurs, lower than those who report no history of compulsive exercise.</w:t>
      </w:r>
    </w:p>
    <w:bookmarkStart w:id="46" w:name="tbl-EDEQZin"/>
    <w:p>
      <w:pPr>
        <w:pStyle w:val="TableCaption"/>
      </w:pPr>
      <w:r>
        <w:t xml:space="preserve">Table 3: Zero-inflated Model Coefficients for ED100k Compulsive Exercise Predicting EDEQ Driven Exercise Days (past 28 days)</w:t>
      </w:r>
    </w:p>
    <w:tbl>
      <w:tblPr>
        <w:tblStyle w:val="Table"/>
        <w:tblW w:type="pct" w:w="5000"/>
        <w:tblLook w:firstRow="1" w:lastRow="0" w:firstColumn="0" w:lastColumn="0" w:noHBand="0" w:noVBand="0" w:val="0020"/>
        <w:tblCaption w:val="Table 3: Zero-inflated Model Coefficients for ED100k Compulsive Exercise Predicting EDEQ Driven Exercise Days (past 28 days)"/>
      </w:tblPr>
      <w:tblGrid>
        <w:gridCol w:w="1958"/>
        <w:gridCol w:w="936"/>
        <w:gridCol w:w="766"/>
        <w:gridCol w:w="936"/>
        <w:gridCol w:w="510"/>
        <w:gridCol w:w="510"/>
        <w:gridCol w:w="681"/>
        <w:gridCol w:w="1618"/>
      </w:tblGrid>
      <w:tr>
        <w:trPr>
          <w:tblHeader w:val="true"/>
        </w:trPr>
        <w:tc>
          <w:tcPr/>
          <w:p>
            <w:pPr>
              <w:pStyle w:val="Compact"/>
              <w:jc w:val="left"/>
            </w:pPr>
            <w:r>
              <w:t xml:space="preserve">Term</w:t>
            </w:r>
          </w:p>
        </w:tc>
        <w:tc>
          <w:tcPr/>
          <w:p>
            <w:pPr>
              <w:pStyle w:val="Compact"/>
              <w:jc w:val="left"/>
            </w:pPr>
            <w:r>
              <w:t xml:space="preserve">Model Part</w:t>
            </w: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IRR</w:t>
            </w:r>
          </w:p>
        </w:tc>
        <w:tc>
          <w:tcPr/>
          <w:p>
            <w:pPr>
              <w:pStyle w:val="Compact"/>
              <w:jc w:val="right"/>
            </w:pPr>
            <w:r>
              <w:t xml:space="preserve">OR</w:t>
            </w:r>
          </w:p>
        </w:tc>
        <w:tc>
          <w:tcPr/>
          <w:p>
            <w:pPr>
              <w:pStyle w:val="Compact"/>
              <w:jc w:val="right"/>
            </w:pPr>
            <w:r>
              <w:t xml:space="preserve">z value</w:t>
            </w:r>
          </w:p>
        </w:tc>
        <w:tc>
          <w:tcPr/>
          <w:p>
            <w:pPr>
              <w:pStyle w:val="Compact"/>
              <w:jc w:val="left"/>
            </w:pPr>
            <w:r>
              <w:t xml:space="preserve">Pr(&gt;|z|)</w:t>
            </w:r>
          </w:p>
        </w:tc>
      </w:tr>
      <w:tr>
        <w:tc>
          <w:tcPr/>
          <w:p>
            <w:pPr>
              <w:pStyle w:val="Compact"/>
              <w:jc w:val="left"/>
            </w:pPr>
            <w:r>
              <w:t xml:space="preserve">(Intercept)</w:t>
            </w:r>
          </w:p>
        </w:tc>
        <w:tc>
          <w:tcPr/>
          <w:p>
            <w:pPr>
              <w:pStyle w:val="Compact"/>
              <w:jc w:val="left"/>
            </w:pPr>
            <w:r>
              <w:t xml:space="preserve">Count</w:t>
            </w:r>
          </w:p>
        </w:tc>
        <w:tc>
          <w:tcPr/>
          <w:p>
            <w:pPr>
              <w:pStyle w:val="Compact"/>
              <w:jc w:val="right"/>
            </w:pPr>
            <w:r>
              <w:t xml:space="preserve">1.966</w:t>
            </w:r>
          </w:p>
        </w:tc>
        <w:tc>
          <w:tcPr/>
          <w:p>
            <w:pPr>
              <w:pStyle w:val="Compact"/>
              <w:jc w:val="right"/>
            </w:pPr>
            <w:r>
              <w:t xml:space="preserve">0.086</w:t>
            </w:r>
          </w:p>
        </w:tc>
        <w:tc>
          <w:tcPr/>
          <w:p>
            <w:pPr>
              <w:pStyle w:val="Compact"/>
              <w:jc w:val="right"/>
            </w:pPr>
            <w:r>
              <w:t xml:space="preserve">7.141</w:t>
            </w:r>
          </w:p>
        </w:tc>
        <w:tc>
          <w:tcPr/>
          <w:p>
            <w:pPr>
              <w:pStyle w:val="Compact"/>
              <w:jc w:val="right"/>
            </w:pPr>
            <w:r>
              <w:t xml:space="preserve">NA</w:t>
            </w:r>
          </w:p>
        </w:tc>
        <w:tc>
          <w:tcPr/>
          <w:p>
            <w:pPr>
              <w:pStyle w:val="Compact"/>
              <w:jc w:val="right"/>
            </w:pPr>
            <w:r>
              <w:t xml:space="preserve">22.760</w:t>
            </w:r>
          </w:p>
        </w:tc>
        <w:tc>
          <w:tcPr/>
          <w:p>
            <w:pPr>
              <w:pStyle w:val="Compact"/>
              <w:jc w:val="left"/>
            </w:pPr>
            <w:r>
              <w:t xml:space="preserve">1.15e-114</w:t>
            </w:r>
          </w:p>
        </w:tc>
      </w:tr>
      <w:tr>
        <w:tc>
          <w:tcPr/>
          <w:p>
            <w:pPr>
              <w:pStyle w:val="Compact"/>
              <w:jc w:val="left"/>
            </w:pPr>
            <w:r>
              <w:t xml:space="preserve">History vs. No History</w:t>
            </w:r>
          </w:p>
        </w:tc>
        <w:tc>
          <w:tcPr/>
          <w:p>
            <w:pPr>
              <w:pStyle w:val="Compact"/>
              <w:jc w:val="left"/>
            </w:pPr>
            <w:r>
              <w:t xml:space="preserve">Count</w:t>
            </w:r>
          </w:p>
        </w:tc>
        <w:tc>
          <w:tcPr/>
          <w:p>
            <w:pPr>
              <w:pStyle w:val="Compact"/>
              <w:jc w:val="right"/>
            </w:pPr>
            <w:r>
              <w:t xml:space="preserve">-0.264</w:t>
            </w:r>
          </w:p>
        </w:tc>
        <w:tc>
          <w:tcPr/>
          <w:p>
            <w:pPr>
              <w:pStyle w:val="Compact"/>
              <w:jc w:val="right"/>
            </w:pPr>
            <w:r>
              <w:t xml:space="preserve">0.093</w:t>
            </w:r>
          </w:p>
        </w:tc>
        <w:tc>
          <w:tcPr/>
          <w:p>
            <w:pPr>
              <w:pStyle w:val="Compact"/>
              <w:jc w:val="right"/>
            </w:pPr>
            <w:r>
              <w:t xml:space="preserve">0.768</w:t>
            </w:r>
          </w:p>
        </w:tc>
        <w:tc>
          <w:tcPr/>
          <w:p>
            <w:pPr>
              <w:pStyle w:val="Compact"/>
              <w:jc w:val="right"/>
            </w:pPr>
            <w:r>
              <w:t xml:space="preserve">NA</w:t>
            </w:r>
          </w:p>
        </w:tc>
        <w:tc>
          <w:tcPr/>
          <w:p>
            <w:pPr>
              <w:pStyle w:val="Compact"/>
              <w:jc w:val="right"/>
            </w:pPr>
            <w:r>
              <w:t xml:space="preserve">-2.839</w:t>
            </w:r>
          </w:p>
        </w:tc>
        <w:tc>
          <w:tcPr/>
          <w:p>
            <w:pPr>
              <w:pStyle w:val="Compact"/>
              <w:jc w:val="left"/>
            </w:pPr>
            <w:r>
              <w:t xml:space="preserve">4.52e-03</w:t>
            </w:r>
          </w:p>
        </w:tc>
      </w:tr>
      <w:tr>
        <w:tc>
          <w:tcPr/>
          <w:p>
            <w:pPr>
              <w:pStyle w:val="Compact"/>
              <w:jc w:val="left"/>
            </w:pPr>
            <w:r>
              <w:t xml:space="preserve">Current vs. No History</w:t>
            </w:r>
          </w:p>
        </w:tc>
        <w:tc>
          <w:tcPr/>
          <w:p>
            <w:pPr>
              <w:pStyle w:val="Compact"/>
              <w:jc w:val="left"/>
            </w:pPr>
            <w:r>
              <w:t xml:space="preserve">Count</w:t>
            </w:r>
          </w:p>
        </w:tc>
        <w:tc>
          <w:tcPr/>
          <w:p>
            <w:pPr>
              <w:pStyle w:val="Compact"/>
              <w:jc w:val="right"/>
            </w:pPr>
            <w:r>
              <w:t xml:space="preserve">0.673</w:t>
            </w:r>
          </w:p>
        </w:tc>
        <w:tc>
          <w:tcPr/>
          <w:p>
            <w:pPr>
              <w:pStyle w:val="Compact"/>
              <w:jc w:val="right"/>
            </w:pPr>
            <w:r>
              <w:t xml:space="preserve">0.088</w:t>
            </w:r>
          </w:p>
        </w:tc>
        <w:tc>
          <w:tcPr/>
          <w:p>
            <w:pPr>
              <w:pStyle w:val="Compact"/>
              <w:jc w:val="right"/>
            </w:pPr>
            <w:r>
              <w:t xml:space="preserve">1.960</w:t>
            </w:r>
          </w:p>
        </w:tc>
        <w:tc>
          <w:tcPr/>
          <w:p>
            <w:pPr>
              <w:pStyle w:val="Compact"/>
              <w:jc w:val="right"/>
            </w:pPr>
            <w:r>
              <w:t xml:space="preserve">NA</w:t>
            </w:r>
          </w:p>
        </w:tc>
        <w:tc>
          <w:tcPr/>
          <w:p>
            <w:pPr>
              <w:pStyle w:val="Compact"/>
              <w:jc w:val="right"/>
            </w:pPr>
            <w:r>
              <w:t xml:space="preserve">7.621</w:t>
            </w:r>
          </w:p>
        </w:tc>
        <w:tc>
          <w:tcPr/>
          <w:p>
            <w:pPr>
              <w:pStyle w:val="Compact"/>
              <w:jc w:val="left"/>
            </w:pPr>
            <w:r>
              <w:t xml:space="preserve">2.52e-14</w:t>
            </w:r>
          </w:p>
        </w:tc>
      </w:tr>
      <w:tr>
        <w:tc>
          <w:tcPr/>
          <w:p>
            <w:pPr>
              <w:pStyle w:val="Compact"/>
              <w:jc w:val="left"/>
            </w:pPr>
            <w:r>
              <w:t xml:space="preserve">(Intercept)</w:t>
            </w:r>
          </w:p>
        </w:tc>
        <w:tc>
          <w:tcPr/>
          <w:p>
            <w:pPr>
              <w:pStyle w:val="Compact"/>
              <w:jc w:val="left"/>
            </w:pPr>
            <w:r>
              <w:t xml:space="preserve">Zero</w:t>
            </w:r>
          </w:p>
        </w:tc>
        <w:tc>
          <w:tcPr/>
          <w:p>
            <w:pPr>
              <w:pStyle w:val="Compact"/>
              <w:jc w:val="right"/>
            </w:pPr>
            <w:r>
              <w:t xml:space="preserve">1.779</w:t>
            </w:r>
          </w:p>
        </w:tc>
        <w:tc>
          <w:tcPr/>
          <w:p>
            <w:pPr>
              <w:pStyle w:val="Compact"/>
              <w:jc w:val="right"/>
            </w:pPr>
            <w:r>
              <w:t xml:space="preserve">0.105</w:t>
            </w:r>
          </w:p>
        </w:tc>
        <w:tc>
          <w:tcPr/>
          <w:p>
            <w:pPr>
              <w:pStyle w:val="Compact"/>
              <w:jc w:val="right"/>
            </w:pPr>
            <w:r>
              <w:t xml:space="preserve">NA</w:t>
            </w:r>
          </w:p>
        </w:tc>
        <w:tc>
          <w:tcPr/>
          <w:p>
            <w:pPr>
              <w:pStyle w:val="Compact"/>
              <w:jc w:val="right"/>
            </w:pPr>
            <w:r>
              <w:t xml:space="preserve">5.926</w:t>
            </w:r>
          </w:p>
        </w:tc>
        <w:tc>
          <w:tcPr/>
          <w:p>
            <w:pPr>
              <w:pStyle w:val="Compact"/>
              <w:jc w:val="right"/>
            </w:pPr>
            <w:r>
              <w:t xml:space="preserve">16.916</w:t>
            </w:r>
          </w:p>
        </w:tc>
        <w:tc>
          <w:tcPr/>
          <w:p>
            <w:pPr>
              <w:pStyle w:val="Compact"/>
              <w:jc w:val="left"/>
            </w:pPr>
            <w:r>
              <w:t xml:space="preserve">3.45e-64</w:t>
            </w:r>
          </w:p>
        </w:tc>
      </w:tr>
      <w:tr>
        <w:tc>
          <w:tcPr/>
          <w:p>
            <w:pPr>
              <w:pStyle w:val="Compact"/>
              <w:jc w:val="left"/>
            </w:pPr>
            <w:r>
              <w:t xml:space="preserve">History vs. No History</w:t>
            </w:r>
          </w:p>
        </w:tc>
        <w:tc>
          <w:tcPr/>
          <w:p>
            <w:pPr>
              <w:pStyle w:val="Compact"/>
              <w:jc w:val="left"/>
            </w:pPr>
            <w:r>
              <w:t xml:space="preserve">Zero</w:t>
            </w:r>
          </w:p>
        </w:tc>
        <w:tc>
          <w:tcPr/>
          <w:p>
            <w:pPr>
              <w:pStyle w:val="Compact"/>
              <w:jc w:val="right"/>
            </w:pPr>
            <w:r>
              <w:t xml:space="preserve">-0.864</w:t>
            </w:r>
          </w:p>
        </w:tc>
        <w:tc>
          <w:tcPr/>
          <w:p>
            <w:pPr>
              <w:pStyle w:val="Compact"/>
              <w:jc w:val="right"/>
            </w:pPr>
            <w:r>
              <w:t xml:space="preserve">0.115</w:t>
            </w:r>
          </w:p>
        </w:tc>
        <w:tc>
          <w:tcPr/>
          <w:p>
            <w:pPr>
              <w:pStyle w:val="Compact"/>
              <w:jc w:val="right"/>
            </w:pPr>
            <w:r>
              <w:t xml:space="preserve">NA</w:t>
            </w:r>
          </w:p>
        </w:tc>
        <w:tc>
          <w:tcPr/>
          <w:p>
            <w:pPr>
              <w:pStyle w:val="Compact"/>
              <w:jc w:val="right"/>
            </w:pPr>
            <w:r>
              <w:t xml:space="preserve">0.421</w:t>
            </w:r>
          </w:p>
        </w:tc>
        <w:tc>
          <w:tcPr/>
          <w:p>
            <w:pPr>
              <w:pStyle w:val="Compact"/>
              <w:jc w:val="right"/>
            </w:pPr>
            <w:r>
              <w:t xml:space="preserve">-7.532</w:t>
            </w:r>
          </w:p>
        </w:tc>
        <w:tc>
          <w:tcPr/>
          <w:p>
            <w:pPr>
              <w:pStyle w:val="Compact"/>
              <w:jc w:val="left"/>
            </w:pPr>
            <w:r>
              <w:t xml:space="preserve">4.99e-14</w:t>
            </w:r>
          </w:p>
        </w:tc>
      </w:tr>
      <w:tr>
        <w:tc>
          <w:tcPr/>
          <w:p>
            <w:pPr>
              <w:pStyle w:val="Compact"/>
              <w:jc w:val="left"/>
            </w:pPr>
            <w:r>
              <w:t xml:space="preserve">Current vs. No History</w:t>
            </w:r>
          </w:p>
        </w:tc>
        <w:tc>
          <w:tcPr/>
          <w:p>
            <w:pPr>
              <w:pStyle w:val="Compact"/>
              <w:jc w:val="left"/>
            </w:pPr>
            <w:r>
              <w:t xml:space="preserve">Zero</w:t>
            </w:r>
          </w:p>
        </w:tc>
        <w:tc>
          <w:tcPr/>
          <w:p>
            <w:pPr>
              <w:pStyle w:val="Compact"/>
              <w:jc w:val="right"/>
            </w:pPr>
            <w:r>
              <w:t xml:space="preserve">-3.507</w:t>
            </w:r>
          </w:p>
        </w:tc>
        <w:tc>
          <w:tcPr/>
          <w:p>
            <w:pPr>
              <w:pStyle w:val="Compact"/>
              <w:jc w:val="right"/>
            </w:pPr>
            <w:r>
              <w:t xml:space="preserve">0.122</w:t>
            </w:r>
          </w:p>
        </w:tc>
        <w:tc>
          <w:tcPr/>
          <w:p>
            <w:pPr>
              <w:pStyle w:val="Compact"/>
              <w:jc w:val="right"/>
            </w:pPr>
            <w:r>
              <w:t xml:space="preserve">NA</w:t>
            </w:r>
          </w:p>
        </w:tc>
        <w:tc>
          <w:tcPr/>
          <w:p>
            <w:pPr>
              <w:pStyle w:val="Compact"/>
              <w:jc w:val="right"/>
            </w:pPr>
            <w:r>
              <w:t xml:space="preserve">0.030</w:t>
            </w:r>
          </w:p>
        </w:tc>
        <w:tc>
          <w:tcPr/>
          <w:p>
            <w:pPr>
              <w:pStyle w:val="Compact"/>
              <w:jc w:val="right"/>
            </w:pPr>
            <w:r>
              <w:t xml:space="preserve">-28.667</w:t>
            </w:r>
          </w:p>
        </w:tc>
        <w:tc>
          <w:tcPr/>
          <w:p>
            <w:pPr>
              <w:pStyle w:val="Compact"/>
              <w:jc w:val="left"/>
            </w:pPr>
            <w:r>
              <w:t xml:space="preserve">9.97e-181</w:t>
            </w:r>
          </w:p>
        </w:tc>
      </w:tr>
    </w:tbl>
    <w:bookmarkEnd w:id="46"/>
    <w:bookmarkEnd w:id="47"/>
    <w:bookmarkStart w:id="48" w:name="perfectionism-and-ocd-symptoms"/>
    <w:p>
      <w:pPr>
        <w:pStyle w:val="Heading2"/>
      </w:pPr>
      <w:r>
        <w:t xml:space="preserve">Perfectionism and OCD Symptoms</w:t>
      </w:r>
    </w:p>
    <w:p>
      <w:pPr>
        <w:pStyle w:val="FirstParagraph"/>
      </w:pPr>
      <w:r>
        <w:t xml:space="preserve">In addition to convergent validity across current exercise measures, we also examined both convert and discriminant validity by examining those with vs. without history of maladaptive and compulsive exercise on subscales of the Frost MPS indexing maladaptive perfectionism along with subscale and total scores for the OCI-R</w:t>
      </w:r>
    </w:p>
    <w:p>
      <w:pPr>
        <w:pStyle w:val="BodyText"/>
      </w:pPr>
      <w:r>
        <w:t xml:space="preserve">H2c: Within diagnostic groups - those with vs. without history of maladaptive exercise will report higher Frost MPS (Maladaptive) and OCD symptoms.</w:t>
      </w:r>
      <w:r>
        <w:t xml:space="preserve"> </w:t>
      </w:r>
      <w:r>
        <w:rPr>
          <w:iCs/>
          <w:i/>
        </w:rPr>
        <w:t xml:space="preserve">t-tests within diagnostic groups comparing frost MPS and OCI-R/OCI-12 subscale scores across those with vs. without history of maladpative exercise, expected p &lt; 0.05 adjusted for multiple comparisons across subscale. We also include calculation of Cohen’s d effect sizes</w:t>
      </w:r>
    </w:p>
    <w:p>
      <w:pPr>
        <w:pStyle w:val="BodyText"/>
      </w:pPr>
      <w:r>
        <w:t xml:space="preserve">H2d: Associations with the MPS and OCD measure will be weaker than with the CET and EDEQ exercise item.</w:t>
      </w:r>
      <w:r>
        <w:t xml:space="preserve"> </w:t>
      </w:r>
      <w:r>
        <w:rPr>
          <w:iCs/>
          <w:i/>
        </w:rPr>
        <w:t xml:space="preserve">We will interpret patterns of ES across these scales</w:t>
      </w:r>
    </w:p>
    <w:p>
      <w:pPr>
        <w:pStyle w:val="BodyText"/>
      </w:pPr>
      <w:r>
        <w:t xml:space="preserve">KS Note – Currently do not have access to this data in the dataset</w:t>
      </w:r>
    </w:p>
    <w:bookmarkEnd w:id="48"/>
    <w:bookmarkEnd w:id="49"/>
    <w:bookmarkStart w:id="54" w:name="X0c353b36ad4065faa9dddf18278686559dc3f98"/>
    <w:p>
      <w:pPr>
        <w:pStyle w:val="Heading1"/>
      </w:pPr>
      <w:r>
        <w:t xml:space="preserve">Aim 3. Demonstrate Prevalence of Maladaptive (Broad), Compulsive, Addictive, Excessive, and Compensatory Exercise across Diagnostic Groups</w:t>
      </w:r>
    </w:p>
    <w:p>
      <w:pPr>
        <w:pStyle w:val="FirstParagraph"/>
      </w:pPr>
      <w:r>
        <w:t xml:space="preserve">H3a. Maladaptive exercise, compulsive exercise, and exercise addiction will be a common symptom across diagnoses. We expect that these constructs will be more common in AN and BN than BED.</w:t>
      </w:r>
      <w:r>
        <w:t xml:space="preserve"> </w:t>
      </w:r>
      <w:r>
        <w:rPr>
          <w:iCs/>
          <w:i/>
        </w:rPr>
        <w:t xml:space="preserve">Rates of maladaptive exercise, compulsive exercise, excessive exercise, and exercise addiction will all be &gt; 50% in AN and BN presentations; &gt; 20% in BED. Multinomial logisitc regression with AN only as reference group will show higher rates in AN only as compared to BN only, BN-BED, and BED only groups</w:t>
      </w:r>
    </w:p>
    <w:p>
      <w:pPr>
        <w:pStyle w:val="BodyText"/>
      </w:pPr>
      <w:r>
        <w:t xml:space="preserve">H3b. Compensatory exercise will be more common among those with AN mixed and BN as compared to AN only .</w:t>
      </w:r>
      <w:r>
        <w:t xml:space="preserve"> </w:t>
      </w:r>
      <w:r>
        <w:rPr>
          <w:iCs/>
          <w:i/>
        </w:rPr>
        <w:t xml:space="preserve">Multinomial logistic regression with AN group as reference – AN mixed, BN, and BN-BED mixed groups will report higher levels of compensatory exercise than the AN only group. BED only will report similar levels of compensatory exercise to AN only</w:t>
      </w:r>
    </w:p>
    <w:tbl>
      <w:tblPr>
        <w:tblStyle w:val="Table"/>
        <w:tblW w:type="pct" w:w="5000"/>
        <w:tblLook w:firstRow="0" w:lastRow="0" w:firstColumn="0" w:lastColumn="0" w:noHBand="0" w:noVBand="0" w:val="0000"/>
      </w:tblPr>
      <w:tblGrid>
        <w:gridCol w:w="7920"/>
      </w:tblGrid>
      <w:tr>
        <w:tc>
          <w:tcPr/>
          <w:bookmarkStart w:id="53" w:name="fig-dxgroups"/>
          <w:p>
            <w:pPr>
              <w:pStyle w:val="Figure"/>
              <w:jc w:val="center"/>
            </w:pPr>
            <w:r>
              <w:drawing>
                <wp:inline>
                  <wp:extent cx="5334000" cy="4267200"/>
                  <wp:effectExtent b="0" l="0" r="0" t="0"/>
                  <wp:docPr descr="" title="" id="51" name="Picture"/>
                  <a:graphic>
                    <a:graphicData uri="http://schemas.openxmlformats.org/drawingml/2006/picture">
                      <pic:pic>
                        <pic:nvPicPr>
                          <pic:cNvPr descr="Validation_Paper_Analysis_files/figure-docx/fig-dxgroups-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Percentage within each diganostic group reporting differing exercise constructs</w:t>
            </w:r>
          </w:p>
          <w:bookmarkEnd w:id="53"/>
        </w:tc>
      </w:tr>
    </w:tbl>
    <w:p>
      <w:pPr>
        <w:pStyle w:val="BodyText"/>
      </w:pPr>
      <w:r>
        <w:t xml:space="preserve">Rates of addictive, compensatory, compulsive, excessive, and regular compulsive exercise across diagnostic groups are presented in</w:t>
      </w:r>
      <w:r>
        <w:t xml:space="preserve"> </w:t>
      </w:r>
      <w:hyperlink w:anchor="fig-dxgroups">
        <w:r>
          <w:rPr>
            <w:rStyle w:val="Hyperlink"/>
          </w:rPr>
          <w:t xml:space="preserve">Figure 6</w:t>
        </w:r>
      </w:hyperlink>
      <w:r>
        <w:t xml:space="preserve">. History of addictive, regular compuslive, and excessive exercise were all highest in groups reporting history of AN.</w:t>
      </w:r>
    </w:p>
    <w:p>
      <w:pPr>
        <w:pStyle w:val="BodyText"/>
      </w:pPr>
      <w:r>
        <w:t xml:space="preserve">History of Compulsive Exercise was reported most frequently in the AN, AN-Mixed Diagnosis, and BN groups, around 60% in each of these diagnostic groups reporting history of regular engagment. Compulsive exercise was also reported in half of those with BN-BED (50%) and a portion (20%) of those with BED.</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EDGI Exercise Validation Paper Results</dc:title>
  <dc:creator>Katherine Schaumberg</dc:creator>
  <cp:keywords/>
  <dcterms:created xsi:type="dcterms:W3CDTF">2023-06-11T01:27:39Z</dcterms:created>
  <dcterms:modified xsi:type="dcterms:W3CDTF">2023-06-11T01:27:39Z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