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4760" w:rsidRDefault="008A4760" w:rsidP="008A4760">
      <w:pPr>
        <w:pStyle w:val="paragraph"/>
        <w:spacing w:before="0" w:beforeAutospacing="0" w:after="0" w:afterAutospacing="0"/>
        <w:textAlignment w:val="baseline"/>
        <w:rPr>
          <w:rFonts w:ascii="Segoe UI" w:hAnsi="Segoe UI" w:cs="Segoe UI"/>
          <w:sz w:val="18"/>
          <w:szCs w:val="18"/>
        </w:rPr>
      </w:pPr>
      <w:proofErr w:type="spellStart"/>
      <w:r>
        <w:rPr>
          <w:rStyle w:val="normaltextrun"/>
          <w:rFonts w:ascii="Aptos" w:hAnsi="Aptos" w:cs="Segoe UI"/>
          <w:b/>
          <w:bCs/>
          <w:color w:val="000000"/>
        </w:rPr>
        <w:t>Reversine</w:t>
      </w:r>
      <w:proofErr w:type="spellEnd"/>
      <w:r>
        <w:rPr>
          <w:rStyle w:val="normaltextrun"/>
          <w:rFonts w:ascii="Aptos" w:hAnsi="Aptos" w:cs="Segoe UI"/>
          <w:b/>
          <w:bCs/>
          <w:color w:val="000000"/>
        </w:rPr>
        <w:t>-induced aneuploidy in RPE-1 cells</w:t>
      </w:r>
      <w:r>
        <w:rPr>
          <w:rStyle w:val="eop"/>
          <w:rFonts w:ascii="Aptos" w:hAnsi="Aptos" w:cs="Segoe UI"/>
          <w:color w:val="000000"/>
          <w:bdr w:val="none" w:sz="0" w:space="0" w:color="auto" w:frame="1"/>
          <w:shd w:val="clear" w:color="auto" w:fill="C6C6C6"/>
        </w:rPr>
        <w:t> </w:t>
      </w:r>
    </w:p>
    <w:p w:rsidR="008A4760" w:rsidRDefault="008A4760" w:rsidP="008A4760">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000000"/>
        </w:rPr>
        <w:t>Published RNA sequencing data from human RPE-1 </w:t>
      </w:r>
      <w:r>
        <w:rPr>
          <w:rStyle w:val="normaltextrun"/>
          <w:rFonts w:ascii="Aptos" w:hAnsi="Aptos" w:cs="Segoe UI"/>
          <w:i/>
          <w:iCs/>
          <w:color w:val="000000"/>
        </w:rPr>
        <w:t>TP53</w:t>
      </w:r>
      <w:r>
        <w:rPr>
          <w:rStyle w:val="normaltextrun"/>
          <w:rFonts w:ascii="Aptos" w:hAnsi="Aptos" w:cs="Segoe UI"/>
          <w:color w:val="000000"/>
        </w:rPr>
        <w:t>-knockout cells treated with </w:t>
      </w:r>
      <w:proofErr w:type="spellStart"/>
      <w:r>
        <w:rPr>
          <w:rStyle w:val="normaltextrun"/>
          <w:rFonts w:ascii="Aptos" w:hAnsi="Aptos" w:cs="Segoe UI"/>
          <w:color w:val="000000"/>
        </w:rPr>
        <w:t>reversine</w:t>
      </w:r>
      <w:proofErr w:type="spellEnd"/>
      <w:r>
        <w:rPr>
          <w:rStyle w:val="normaltextrun"/>
          <w:rFonts w:ascii="Aptos" w:hAnsi="Aptos" w:cs="Segoe UI"/>
          <w:color w:val="000000"/>
        </w:rPr>
        <w:t> or DMSO were obtained from GSE188644 [ref]. The dataset comprises 12 samples spanning two treatments (DMSO, </w:t>
      </w:r>
      <w:proofErr w:type="spellStart"/>
      <w:r>
        <w:rPr>
          <w:rStyle w:val="normaltextrun"/>
          <w:rFonts w:ascii="Aptos" w:hAnsi="Aptos" w:cs="Segoe UI"/>
          <w:color w:val="000000"/>
        </w:rPr>
        <w:t>reversine</w:t>
      </w:r>
      <w:proofErr w:type="spellEnd"/>
      <w:r>
        <w:rPr>
          <w:rStyle w:val="normaltextrun"/>
          <w:rFonts w:ascii="Aptos" w:hAnsi="Aptos" w:cs="Segoe UI"/>
          <w:color w:val="000000"/>
        </w:rPr>
        <w:t>) and two </w:t>
      </w:r>
      <w:r>
        <w:rPr>
          <w:rStyle w:val="normaltextrun"/>
          <w:rFonts w:ascii="Aptos" w:hAnsi="Aptos" w:cs="Segoe UI"/>
          <w:i/>
          <w:iCs/>
          <w:color w:val="000000"/>
        </w:rPr>
        <w:t>LMB2 </w:t>
      </w:r>
      <w:r>
        <w:rPr>
          <w:rStyle w:val="normaltextrun"/>
          <w:rFonts w:ascii="Aptos" w:hAnsi="Aptos" w:cs="Segoe UI"/>
          <w:color w:val="000000"/>
        </w:rPr>
        <w:t>overexpression states, in biological triplicate. Analysis was restricted to the six samples without </w:t>
      </w:r>
      <w:r>
        <w:rPr>
          <w:rStyle w:val="normaltextrun"/>
          <w:rFonts w:ascii="Aptos" w:hAnsi="Aptos" w:cs="Segoe UI"/>
          <w:i/>
          <w:iCs/>
          <w:color w:val="000000"/>
        </w:rPr>
        <w:t>LMB2</w:t>
      </w:r>
      <w:r>
        <w:rPr>
          <w:rStyle w:val="normaltextrun"/>
          <w:rFonts w:ascii="Aptos" w:hAnsi="Aptos" w:cs="Segoe UI"/>
          <w:color w:val="000000"/>
        </w:rPr>
        <w:t> overexpression (three DMSO, three </w:t>
      </w:r>
      <w:proofErr w:type="spellStart"/>
      <w:r>
        <w:rPr>
          <w:rStyle w:val="normaltextrun"/>
          <w:rFonts w:ascii="Aptos" w:hAnsi="Aptos" w:cs="Segoe UI"/>
          <w:color w:val="000000"/>
        </w:rPr>
        <w:t>reversine</w:t>
      </w:r>
      <w:proofErr w:type="spellEnd"/>
      <w:r>
        <w:rPr>
          <w:rStyle w:val="normaltextrun"/>
          <w:rFonts w:ascii="Aptos" w:hAnsi="Aptos" w:cs="Segoe UI"/>
          <w:color w:val="000000"/>
        </w:rPr>
        <w:t>), as </w:t>
      </w:r>
      <w:r>
        <w:rPr>
          <w:rStyle w:val="normaltextrun"/>
          <w:rFonts w:ascii="Aptos" w:hAnsi="Aptos" w:cs="Segoe UI"/>
          <w:i/>
          <w:iCs/>
          <w:color w:val="000000"/>
        </w:rPr>
        <w:t>LMB2</w:t>
      </w:r>
      <w:r>
        <w:rPr>
          <w:rStyle w:val="normaltextrun"/>
          <w:rFonts w:ascii="Aptos" w:hAnsi="Aptos" w:cs="Segoe UI"/>
          <w:color w:val="000000"/>
        </w:rPr>
        <w:t> overexpression constitutes an independent perturbation. Gene-level counts were combined across samples, duplicate gene symbols were collapsed by summation, and genes with fewer than 10 total counts across the six retained samples were removed. Differential expression was assessed with DESeq2 v1.44.0 [ref] using the design ~ treatment. The </w:t>
      </w:r>
      <w:proofErr w:type="spellStart"/>
      <w:r>
        <w:rPr>
          <w:rStyle w:val="normaltextrun"/>
          <w:rFonts w:ascii="Aptos" w:hAnsi="Aptos" w:cs="Segoe UI"/>
          <w:color w:val="000000"/>
        </w:rPr>
        <w:t>reversine</w:t>
      </w:r>
      <w:proofErr w:type="spellEnd"/>
      <w:r>
        <w:rPr>
          <w:rStyle w:val="normaltextrun"/>
          <w:rFonts w:ascii="Aptos" w:hAnsi="Aptos" w:cs="Segoe UI"/>
          <w:color w:val="000000"/>
        </w:rPr>
        <w:t xml:space="preserve">-versus-DMSO contrast was extracted using the default Wald test, with </w:t>
      </w:r>
      <w:proofErr w:type="spellStart"/>
      <w:r>
        <w:rPr>
          <w:rStyle w:val="normaltextrun"/>
          <w:rFonts w:ascii="Aptos" w:hAnsi="Aptos" w:cs="Segoe UI"/>
          <w:color w:val="000000"/>
        </w:rPr>
        <w:t>Benjamini</w:t>
      </w:r>
      <w:proofErr w:type="spellEnd"/>
      <w:r>
        <w:rPr>
          <w:rStyle w:val="normaltextrun"/>
          <w:rFonts w:ascii="Aptos" w:hAnsi="Aptos" w:cs="Segoe UI"/>
          <w:color w:val="000000"/>
        </w:rPr>
        <w:t>–Hochberg correction across all genes. UBE2H expression is plotted as DESeq2 </w:t>
      </w:r>
      <w:proofErr w:type="spellStart"/>
      <w:r>
        <w:rPr>
          <w:rStyle w:val="normaltextrun"/>
          <w:rFonts w:ascii="Aptos" w:hAnsi="Aptos" w:cs="Segoe UI"/>
          <w:color w:val="000000"/>
        </w:rPr>
        <w:t>normalised</w:t>
      </w:r>
      <w:proofErr w:type="spellEnd"/>
      <w:r>
        <w:rPr>
          <w:rStyle w:val="normaltextrun"/>
          <w:rFonts w:ascii="Aptos" w:hAnsi="Aptos" w:cs="Segoe UI"/>
          <w:color w:val="000000"/>
        </w:rPr>
        <w:t> counts.</w:t>
      </w:r>
      <w:r>
        <w:rPr>
          <w:rStyle w:val="eop"/>
          <w:rFonts w:ascii="Aptos" w:hAnsi="Aptos" w:cs="Segoe UI"/>
          <w:color w:val="000000"/>
          <w:bdr w:val="none" w:sz="0" w:space="0" w:color="auto" w:frame="1"/>
          <w:shd w:val="clear" w:color="auto" w:fill="C6C6C6"/>
        </w:rPr>
        <w:t> </w:t>
      </w:r>
    </w:p>
    <w:p w:rsidR="00481DB5" w:rsidRDefault="00481DB5" w:rsidP="008A4760">
      <w:pPr>
        <w:pStyle w:val="paragraph"/>
        <w:spacing w:before="0" w:beforeAutospacing="0" w:after="0" w:afterAutospacing="0"/>
        <w:textAlignment w:val="baseline"/>
        <w:rPr>
          <w:rStyle w:val="normaltextrun"/>
          <w:rFonts w:ascii="Aptos" w:hAnsi="Aptos" w:cs="Segoe UI"/>
          <w:b/>
          <w:bCs/>
          <w:color w:val="000000"/>
        </w:rPr>
      </w:pPr>
    </w:p>
    <w:p w:rsidR="008A4760" w:rsidRDefault="008A4760" w:rsidP="008A4760">
      <w:pPr>
        <w:pStyle w:val="paragraph"/>
        <w:spacing w:before="0" w:beforeAutospacing="0" w:after="0" w:afterAutospacing="0"/>
        <w:textAlignment w:val="baseline"/>
        <w:rPr>
          <w:rFonts w:ascii="Segoe UI" w:hAnsi="Segoe UI" w:cs="Segoe UI"/>
          <w:sz w:val="18"/>
          <w:szCs w:val="18"/>
        </w:rPr>
      </w:pPr>
      <w:proofErr w:type="spellStart"/>
      <w:r>
        <w:rPr>
          <w:rStyle w:val="normaltextrun"/>
          <w:rFonts w:ascii="Aptos" w:hAnsi="Aptos" w:cs="Segoe UI"/>
          <w:b/>
          <w:bCs/>
          <w:color w:val="000000"/>
        </w:rPr>
        <w:t>Reversine</w:t>
      </w:r>
      <w:proofErr w:type="spellEnd"/>
      <w:r>
        <w:rPr>
          <w:rStyle w:val="normaltextrun"/>
          <w:rFonts w:ascii="Aptos" w:hAnsi="Aptos" w:cs="Segoe UI"/>
          <w:b/>
          <w:bCs/>
          <w:color w:val="000000"/>
        </w:rPr>
        <w:t xml:space="preserve">-induced aneuploidy in mouse </w:t>
      </w:r>
      <w:proofErr w:type="spellStart"/>
      <w:r>
        <w:rPr>
          <w:rStyle w:val="normaltextrun"/>
          <w:rFonts w:ascii="Aptos" w:hAnsi="Aptos" w:cs="Segoe UI"/>
          <w:b/>
          <w:bCs/>
          <w:color w:val="000000"/>
        </w:rPr>
        <w:t>ETiX</w:t>
      </w:r>
      <w:proofErr w:type="spellEnd"/>
      <w:r>
        <w:rPr>
          <w:rStyle w:val="normaltextrun"/>
          <w:rFonts w:ascii="Aptos" w:hAnsi="Aptos" w:cs="Segoe UI"/>
          <w:b/>
          <w:bCs/>
          <w:color w:val="000000"/>
        </w:rPr>
        <w:t xml:space="preserve"> embryoid models</w:t>
      </w:r>
      <w:r>
        <w:rPr>
          <w:rStyle w:val="eop"/>
          <w:rFonts w:ascii="Aptos" w:hAnsi="Aptos" w:cs="Segoe UI"/>
          <w:color w:val="000000"/>
          <w:bdr w:val="none" w:sz="0" w:space="0" w:color="auto" w:frame="1"/>
          <w:shd w:val="clear" w:color="auto" w:fill="C6C6C6"/>
        </w:rPr>
        <w:t> </w:t>
      </w:r>
    </w:p>
    <w:p w:rsidR="008A4760" w:rsidRDefault="008A4760" w:rsidP="008A4760">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000000"/>
        </w:rPr>
        <w:t xml:space="preserve">Single-cell RNA sequencing data from mouse </w:t>
      </w:r>
      <w:proofErr w:type="spellStart"/>
      <w:r>
        <w:rPr>
          <w:rStyle w:val="normaltextrun"/>
          <w:rFonts w:ascii="Aptos" w:hAnsi="Aptos" w:cs="Segoe UI"/>
          <w:color w:val="000000"/>
        </w:rPr>
        <w:t>ETiX</w:t>
      </w:r>
      <w:proofErr w:type="spellEnd"/>
      <w:r>
        <w:rPr>
          <w:rStyle w:val="normaltextrun"/>
          <w:rFonts w:ascii="Aptos" w:hAnsi="Aptos" w:cs="Segoe UI"/>
          <w:color w:val="000000"/>
        </w:rPr>
        <w:t xml:space="preserve"> embryoid models were obtained from GSE313191 [ref]. The dataset comprises three targeted lineages (ESC, iGata4, TSC), each under three conditions: DMSO (DD), mixed DMSO/</w:t>
      </w:r>
      <w:proofErr w:type="spellStart"/>
      <w:r>
        <w:rPr>
          <w:rStyle w:val="normaltextrun"/>
          <w:rFonts w:ascii="Aptos" w:hAnsi="Aptos" w:cs="Segoe UI"/>
          <w:color w:val="000000"/>
        </w:rPr>
        <w:t>reversine</w:t>
      </w:r>
      <w:proofErr w:type="spellEnd"/>
      <w:r>
        <w:rPr>
          <w:rStyle w:val="normaltextrun"/>
          <w:rFonts w:ascii="Aptos" w:hAnsi="Aptos" w:cs="Segoe UI"/>
          <w:color w:val="000000"/>
        </w:rPr>
        <w:t xml:space="preserve"> (DA), and </w:t>
      </w:r>
      <w:proofErr w:type="spellStart"/>
      <w:r>
        <w:rPr>
          <w:rStyle w:val="normaltextrun"/>
          <w:rFonts w:ascii="Aptos" w:hAnsi="Aptos" w:cs="Segoe UI"/>
          <w:color w:val="000000"/>
        </w:rPr>
        <w:t>reversine</w:t>
      </w:r>
      <w:proofErr w:type="spellEnd"/>
      <w:r>
        <w:rPr>
          <w:rStyle w:val="normaltextrun"/>
          <w:rFonts w:ascii="Aptos" w:hAnsi="Aptos" w:cs="Segoe UI"/>
          <w:color w:val="000000"/>
        </w:rPr>
        <w:t xml:space="preserve"> (AA). Analysis was restricted to the DD and AA endpoint conditions, giving six samples. Cells were retained when they had 500–5,000 detected features, fewer than 50,000 total counts, and below 25% mitochondrial reads, following the thresholds used in the original study [ref]. Raw counts per gene were then summed across all QC-passing cells within each sample to generate one </w:t>
      </w:r>
      <w:proofErr w:type="spellStart"/>
      <w:r>
        <w:rPr>
          <w:rStyle w:val="normaltextrun"/>
          <w:rFonts w:ascii="Aptos" w:hAnsi="Aptos" w:cs="Segoe UI"/>
          <w:color w:val="000000"/>
        </w:rPr>
        <w:t>pseudobulk</w:t>
      </w:r>
      <w:proofErr w:type="spellEnd"/>
      <w:r>
        <w:rPr>
          <w:rStyle w:val="normaltextrun"/>
          <w:rFonts w:ascii="Aptos" w:hAnsi="Aptos" w:cs="Segoe UI"/>
          <w:color w:val="000000"/>
        </w:rPr>
        <w:t xml:space="preserve"> profile per sample. Genes with fewer than 10 total counts across the six </w:t>
      </w:r>
      <w:proofErr w:type="spellStart"/>
      <w:r>
        <w:rPr>
          <w:rStyle w:val="normaltextrun"/>
          <w:rFonts w:ascii="Aptos" w:hAnsi="Aptos" w:cs="Segoe UI"/>
          <w:color w:val="000000"/>
        </w:rPr>
        <w:t>pseudobulk</w:t>
      </w:r>
      <w:proofErr w:type="spellEnd"/>
      <w:r>
        <w:rPr>
          <w:rStyle w:val="normaltextrun"/>
          <w:rFonts w:ascii="Aptos" w:hAnsi="Aptos" w:cs="Segoe UI"/>
          <w:color w:val="000000"/>
        </w:rPr>
        <w:t xml:space="preserve"> samples were removed. Differential expression was assessed with DESeq2 v1.44.0 using the design ~ lineage + condition. The AA-versus-DD contrast was tested by Wald test with </w:t>
      </w:r>
      <w:proofErr w:type="spellStart"/>
      <w:r>
        <w:rPr>
          <w:rStyle w:val="normaltextrun"/>
          <w:rFonts w:ascii="Aptos" w:hAnsi="Aptos" w:cs="Segoe UI"/>
          <w:color w:val="000000"/>
        </w:rPr>
        <w:t>Benjamini</w:t>
      </w:r>
      <w:proofErr w:type="spellEnd"/>
      <w:r>
        <w:rPr>
          <w:rStyle w:val="normaltextrun"/>
          <w:rFonts w:ascii="Aptos" w:hAnsi="Aptos" w:cs="Segoe UI"/>
          <w:color w:val="000000"/>
        </w:rPr>
        <w:t xml:space="preserve">-Hochberg correction. Plotted values are DESeq2 </w:t>
      </w:r>
      <w:proofErr w:type="spellStart"/>
      <w:r>
        <w:rPr>
          <w:rStyle w:val="normaltextrun"/>
          <w:rFonts w:ascii="Aptos" w:hAnsi="Aptos" w:cs="Segoe UI"/>
          <w:color w:val="000000"/>
        </w:rPr>
        <w:t>normalised</w:t>
      </w:r>
      <w:proofErr w:type="spellEnd"/>
      <w:r>
        <w:rPr>
          <w:rStyle w:val="normaltextrun"/>
          <w:rFonts w:ascii="Aptos" w:hAnsi="Aptos" w:cs="Segoe UI"/>
          <w:color w:val="000000"/>
        </w:rPr>
        <w:t xml:space="preserve"> counts; lines connect the DD and AA sample from each lineage and are shown descriptively.</w:t>
      </w:r>
      <w:r>
        <w:rPr>
          <w:rStyle w:val="eop"/>
          <w:rFonts w:ascii="Aptos" w:hAnsi="Aptos" w:cs="Segoe UI"/>
          <w:color w:val="000000"/>
          <w:bdr w:val="none" w:sz="0" w:space="0" w:color="auto" w:frame="1"/>
          <w:shd w:val="clear" w:color="auto" w:fill="C6C6C6"/>
        </w:rPr>
        <w:t> </w:t>
      </w:r>
    </w:p>
    <w:p w:rsidR="00481DB5" w:rsidRDefault="00481DB5" w:rsidP="008A4760">
      <w:pPr>
        <w:pStyle w:val="paragraph"/>
        <w:spacing w:before="0" w:beforeAutospacing="0" w:after="0" w:afterAutospacing="0"/>
        <w:textAlignment w:val="baseline"/>
        <w:rPr>
          <w:rStyle w:val="normaltextrun"/>
          <w:rFonts w:ascii="Aptos" w:hAnsi="Aptos" w:cs="Segoe UI"/>
          <w:b/>
          <w:bCs/>
          <w:color w:val="000000"/>
        </w:rPr>
      </w:pPr>
    </w:p>
    <w:p w:rsidR="008A4760" w:rsidRDefault="008A4760" w:rsidP="008A4760">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color w:val="000000"/>
        </w:rPr>
        <w:t>Per-cell chromosome-arm aneuploidy scoring from single-cell RNA sequencing</w:t>
      </w:r>
      <w:r>
        <w:rPr>
          <w:rStyle w:val="eop"/>
          <w:rFonts w:ascii="Aptos" w:hAnsi="Aptos" w:cs="Segoe UI"/>
          <w:color w:val="000000"/>
          <w:bdr w:val="none" w:sz="0" w:space="0" w:color="auto" w:frame="1"/>
          <w:shd w:val="clear" w:color="auto" w:fill="C6C6C6"/>
        </w:rPr>
        <w:t> </w:t>
      </w:r>
    </w:p>
    <w:p w:rsidR="008A4760" w:rsidRDefault="008A4760" w:rsidP="008A4760">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000000"/>
        </w:rPr>
        <w:t xml:space="preserve">Large-scale copy number alterations were inferred from single-cell expression data using </w:t>
      </w:r>
      <w:proofErr w:type="spellStart"/>
      <w:r>
        <w:rPr>
          <w:rStyle w:val="normaltextrun"/>
          <w:rFonts w:ascii="Aptos" w:hAnsi="Aptos" w:cs="Segoe UI"/>
          <w:color w:val="000000"/>
        </w:rPr>
        <w:t>CopyKAT</w:t>
      </w:r>
      <w:proofErr w:type="spellEnd"/>
      <w:r>
        <w:rPr>
          <w:rStyle w:val="normaltextrun"/>
          <w:rFonts w:ascii="Aptos" w:hAnsi="Aptos" w:cs="Segoe UI"/>
          <w:color w:val="000000"/>
        </w:rPr>
        <w:t xml:space="preserve"> v1.2.5 [ref]. In every run, the reference population was supplied explicitly via </w:t>
      </w:r>
      <w:proofErr w:type="spellStart"/>
      <w:r>
        <w:rPr>
          <w:rStyle w:val="normaltextrun"/>
          <w:rFonts w:ascii="Aptos" w:hAnsi="Aptos" w:cs="Segoe UI"/>
          <w:color w:val="000000"/>
        </w:rPr>
        <w:t>norm.cell.names</w:t>
      </w:r>
      <w:proofErr w:type="spellEnd"/>
      <w:r>
        <w:rPr>
          <w:rStyle w:val="normaltextrun"/>
          <w:rFonts w:ascii="Aptos" w:hAnsi="Aptos" w:cs="Segoe UI"/>
          <w:color w:val="000000"/>
        </w:rPr>
        <w:t xml:space="preserve"> using published cell identity annotations.</w:t>
      </w:r>
      <w:r>
        <w:rPr>
          <w:rStyle w:val="eop"/>
          <w:rFonts w:ascii="Aptos" w:hAnsi="Aptos" w:cs="Segoe UI"/>
          <w:color w:val="000000"/>
          <w:bdr w:val="none" w:sz="0" w:space="0" w:color="auto" w:frame="1"/>
          <w:shd w:val="clear" w:color="auto" w:fill="C6C6C6"/>
        </w:rPr>
        <w:t> </w:t>
      </w:r>
    </w:p>
    <w:p w:rsidR="008A4760" w:rsidRDefault="008A4760" w:rsidP="008A4760">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000000"/>
        </w:rPr>
        <w:t xml:space="preserve">A per-cell aneuploidy score was derived from the </w:t>
      </w:r>
      <w:proofErr w:type="spellStart"/>
      <w:r>
        <w:rPr>
          <w:rStyle w:val="normaltextrun"/>
          <w:rFonts w:ascii="Aptos" w:hAnsi="Aptos" w:cs="Segoe UI"/>
          <w:color w:val="000000"/>
        </w:rPr>
        <w:t>CopyKAT</w:t>
      </w:r>
      <w:proofErr w:type="spellEnd"/>
      <w:r>
        <w:rPr>
          <w:rStyle w:val="normaltextrun"/>
          <w:rFonts w:ascii="Aptos" w:hAnsi="Aptos" w:cs="Segoe UI"/>
          <w:color w:val="000000"/>
        </w:rPr>
        <w:t xml:space="preserve"> bin-level signal as follows. First, a run-specific signal threshold was set at the 90th percentile of the absolute bin-level signal across all </w:t>
      </w:r>
      <w:proofErr w:type="spellStart"/>
      <w:r>
        <w:rPr>
          <w:rStyle w:val="normaltextrun"/>
          <w:rFonts w:ascii="Aptos" w:hAnsi="Aptos" w:cs="Segoe UI"/>
          <w:color w:val="000000"/>
        </w:rPr>
        <w:t>CopyKAT</w:t>
      </w:r>
      <w:proofErr w:type="spellEnd"/>
      <w:r>
        <w:rPr>
          <w:rStyle w:val="normaltextrun"/>
          <w:rFonts w:ascii="Aptos" w:hAnsi="Aptos" w:cs="Segoe UI"/>
          <w:color w:val="000000"/>
        </w:rPr>
        <w:t>-predicted diploid cells, with the negative threshold set to the same magnitude. Second, each genomic bin was assigned to a chromosome arm using arm boundary coordinates, restricted to chromosomes 1–22; the short acrocentric p arms (13p, 14p, 15p, 21p, 22p) were excluded. Third, a chromosome arm was called as gained or lost when at least 80% of its assigned bins crossed the threshold in the same direction, and neutral otherwise. The aneuploidy score for each cell is the total number of chromosome arms called gained or lost. </w:t>
      </w:r>
      <w:r>
        <w:rPr>
          <w:rStyle w:val="eop"/>
          <w:rFonts w:ascii="Aptos" w:hAnsi="Aptos" w:cs="Segoe UI"/>
          <w:color w:val="000000"/>
        </w:rPr>
        <w:t> </w:t>
      </w:r>
    </w:p>
    <w:p w:rsidR="008A4760" w:rsidRDefault="008A4760" w:rsidP="008A4760">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000000"/>
        </w:rPr>
        <w:t xml:space="preserve">Because UBE2H is located on chromosome arm 7q, a second score was calculated in the same way with 7q omitted from the sum. This 7q-excluded score was used as the predictor </w:t>
      </w:r>
      <w:r>
        <w:rPr>
          <w:rStyle w:val="normaltextrun"/>
          <w:rFonts w:ascii="Aptos" w:hAnsi="Aptos" w:cs="Segoe UI"/>
          <w:color w:val="000000"/>
        </w:rPr>
        <w:lastRenderedPageBreak/>
        <w:t xml:space="preserve">in all UBE2H association analyses, and the 7q call was retained separately as a categorical variable. UBE2H expression was quantified with Seurat v5.4.0 [ref] using </w:t>
      </w:r>
      <w:proofErr w:type="spellStart"/>
      <w:r>
        <w:rPr>
          <w:rStyle w:val="normaltextrun"/>
          <w:rFonts w:ascii="Aptos" w:hAnsi="Aptos" w:cs="Segoe UI"/>
          <w:color w:val="000000"/>
        </w:rPr>
        <w:t>LogNormalize</w:t>
      </w:r>
      <w:proofErr w:type="spellEnd"/>
      <w:r>
        <w:rPr>
          <w:rStyle w:val="normaltextrun"/>
          <w:rFonts w:ascii="Aptos" w:hAnsi="Aptos" w:cs="Segoe UI"/>
          <w:color w:val="000000"/>
        </w:rPr>
        <w:t xml:space="preserve"> with a scale factor of 10,000. The association between aneuploidy burden and UBE2H expression was assessed by Spearman rank correlation between each 7q-neutral cell's 7q-excluded aneuploidy score and its </w:t>
      </w:r>
      <w:proofErr w:type="spellStart"/>
      <w:r>
        <w:rPr>
          <w:rStyle w:val="normaltextrun"/>
          <w:rFonts w:ascii="Aptos" w:hAnsi="Aptos" w:cs="Segoe UI"/>
          <w:color w:val="000000"/>
        </w:rPr>
        <w:t>normalised</w:t>
      </w:r>
      <w:proofErr w:type="spellEnd"/>
      <w:r>
        <w:rPr>
          <w:rStyle w:val="normaltextrun"/>
          <w:rFonts w:ascii="Aptos" w:hAnsi="Aptos" w:cs="Segoe UI"/>
          <w:color w:val="000000"/>
        </w:rPr>
        <w:t xml:space="preserve"> UBE2H expression.</w:t>
      </w:r>
      <w:r>
        <w:rPr>
          <w:rStyle w:val="eop"/>
          <w:rFonts w:ascii="Aptos" w:hAnsi="Aptos" w:cs="Segoe UI"/>
          <w:color w:val="000000"/>
          <w:bdr w:val="none" w:sz="0" w:space="0" w:color="auto" w:frame="1"/>
          <w:shd w:val="clear" w:color="auto" w:fill="C6C6C6"/>
        </w:rPr>
        <w:t> </w:t>
      </w:r>
    </w:p>
    <w:p w:rsidR="00481DB5" w:rsidRDefault="00481DB5" w:rsidP="008A4760">
      <w:pPr>
        <w:pStyle w:val="paragraph"/>
        <w:spacing w:before="0" w:beforeAutospacing="0" w:after="0" w:afterAutospacing="0"/>
        <w:textAlignment w:val="baseline"/>
        <w:rPr>
          <w:rStyle w:val="normaltextrun"/>
          <w:rFonts w:ascii="Aptos" w:hAnsi="Aptos" w:cs="Segoe UI"/>
          <w:b/>
          <w:bCs/>
          <w:color w:val="000000"/>
        </w:rPr>
      </w:pPr>
    </w:p>
    <w:p w:rsidR="008A4760" w:rsidRDefault="008A4760" w:rsidP="008A4760">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color w:val="000000"/>
        </w:rPr>
        <w:t xml:space="preserve">UBE2H expression and aneuploidy in human </w:t>
      </w:r>
      <w:proofErr w:type="spellStart"/>
      <w:r>
        <w:rPr>
          <w:rStyle w:val="normaltextrun"/>
          <w:rFonts w:ascii="Aptos" w:hAnsi="Aptos" w:cs="Segoe UI"/>
          <w:b/>
          <w:bCs/>
          <w:color w:val="000000"/>
        </w:rPr>
        <w:t>tumours</w:t>
      </w:r>
      <w:proofErr w:type="spellEnd"/>
      <w:r>
        <w:rPr>
          <w:rStyle w:val="eop"/>
          <w:rFonts w:ascii="Aptos" w:hAnsi="Aptos" w:cs="Segoe UI"/>
          <w:color w:val="000000"/>
          <w:bdr w:val="none" w:sz="0" w:space="0" w:color="auto" w:frame="1"/>
          <w:shd w:val="clear" w:color="auto" w:fill="C6C6C6"/>
        </w:rPr>
        <w:t> </w:t>
      </w:r>
    </w:p>
    <w:p w:rsidR="008A4760" w:rsidRDefault="008A4760" w:rsidP="008A4760">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color w:val="000000"/>
        </w:rPr>
        <w:t>Pancreatic ductal adenocarcinoma.</w:t>
      </w:r>
      <w:r>
        <w:rPr>
          <w:rStyle w:val="normaltextrun"/>
          <w:rFonts w:ascii="Aptos" w:hAnsi="Aptos" w:cs="Segoe UI"/>
          <w:color w:val="000000"/>
        </w:rPr>
        <w:t> </w:t>
      </w:r>
      <w:proofErr w:type="spellStart"/>
      <w:r>
        <w:rPr>
          <w:rStyle w:val="normaltextrun"/>
          <w:rFonts w:ascii="Aptos" w:hAnsi="Aptos" w:cs="Segoe UI"/>
          <w:color w:val="000000"/>
        </w:rPr>
        <w:t>inDrop</w:t>
      </w:r>
      <w:proofErr w:type="spellEnd"/>
      <w:r>
        <w:rPr>
          <w:rStyle w:val="normaltextrun"/>
          <w:rFonts w:ascii="Aptos" w:hAnsi="Aptos" w:cs="Segoe UI"/>
          <w:color w:val="000000"/>
        </w:rPr>
        <w:t xml:space="preserve"> single-cell RNA sequencing data were obtained from GSE111672 [ref]. Analysis was restricted to </w:t>
      </w:r>
      <w:proofErr w:type="spellStart"/>
      <w:r>
        <w:rPr>
          <w:rStyle w:val="normaltextrun"/>
          <w:rFonts w:ascii="Aptos" w:hAnsi="Aptos" w:cs="Segoe UI"/>
          <w:color w:val="000000"/>
        </w:rPr>
        <w:t>tumour</w:t>
      </w:r>
      <w:proofErr w:type="spellEnd"/>
      <w:r>
        <w:rPr>
          <w:rStyle w:val="normaltextrun"/>
          <w:rFonts w:ascii="Aptos" w:hAnsi="Aptos" w:cs="Segoe UI"/>
          <w:color w:val="000000"/>
        </w:rPr>
        <w:t xml:space="preserve"> PDAC-A; PDAC-B was not carried forward because a substantial fraction of its ductal cells received aneuploid </w:t>
      </w:r>
      <w:proofErr w:type="spellStart"/>
      <w:r>
        <w:rPr>
          <w:rStyle w:val="normaltextrun"/>
          <w:rFonts w:ascii="Aptos" w:hAnsi="Aptos" w:cs="Segoe UI"/>
          <w:color w:val="000000"/>
        </w:rPr>
        <w:t>CopyKAT</w:t>
      </w:r>
      <w:proofErr w:type="spellEnd"/>
      <w:r>
        <w:rPr>
          <w:rStyle w:val="normaltextrun"/>
          <w:rFonts w:ascii="Aptos" w:hAnsi="Aptos" w:cs="Segoe UI"/>
          <w:color w:val="000000"/>
        </w:rPr>
        <w:t xml:space="preserve"> calls, which compromised the predicted-diploid baseline required for threshold estimation. Published cell-type labels were used to define </w:t>
      </w:r>
      <w:proofErr w:type="spellStart"/>
      <w:r>
        <w:rPr>
          <w:rStyle w:val="normaltextrun"/>
          <w:rFonts w:ascii="Aptos" w:hAnsi="Aptos" w:cs="Segoe UI"/>
          <w:color w:val="000000"/>
        </w:rPr>
        <w:t>CopyKAT</w:t>
      </w:r>
      <w:proofErr w:type="spellEnd"/>
      <w:r>
        <w:rPr>
          <w:rStyle w:val="normaltextrun"/>
          <w:rFonts w:ascii="Aptos" w:hAnsi="Aptos" w:cs="Segoe UI"/>
          <w:color w:val="000000"/>
        </w:rPr>
        <w:t xml:space="preserve"> input groups: ductal and cancer clone populations formed the observation group, and immune, stromal, and other normal pancreatic populations formed the reference group. Erythrocyte-labelled cells were excluded. </w:t>
      </w:r>
      <w:proofErr w:type="spellStart"/>
      <w:r>
        <w:rPr>
          <w:rStyle w:val="normaltextrun"/>
          <w:rFonts w:ascii="Aptos" w:hAnsi="Aptos" w:cs="Segoe UI"/>
          <w:color w:val="000000"/>
        </w:rPr>
        <w:t>CopyKAT</w:t>
      </w:r>
      <w:proofErr w:type="spellEnd"/>
      <w:r>
        <w:rPr>
          <w:rStyle w:val="normaltextrun"/>
          <w:rFonts w:ascii="Aptos" w:hAnsi="Aptos" w:cs="Segoe UI"/>
          <w:color w:val="000000"/>
        </w:rPr>
        <w:t xml:space="preserve"> was run with </w:t>
      </w:r>
      <w:proofErr w:type="spellStart"/>
      <w:r>
        <w:rPr>
          <w:rStyle w:val="normaltextrun"/>
          <w:rFonts w:ascii="Aptos" w:hAnsi="Aptos" w:cs="Segoe UI"/>
          <w:color w:val="000000"/>
        </w:rPr>
        <w:t>ngene.chr</w:t>
      </w:r>
      <w:proofErr w:type="spellEnd"/>
      <w:r>
        <w:rPr>
          <w:rStyle w:val="normaltextrun"/>
          <w:rFonts w:ascii="Aptos" w:hAnsi="Aptos" w:cs="Segoe UI"/>
          <w:color w:val="000000"/>
        </w:rPr>
        <w:t xml:space="preserve"> = 5, </w:t>
      </w:r>
      <w:proofErr w:type="spellStart"/>
      <w:r>
        <w:rPr>
          <w:rStyle w:val="normaltextrun"/>
          <w:rFonts w:ascii="Aptos" w:hAnsi="Aptos" w:cs="Segoe UI"/>
          <w:color w:val="000000"/>
        </w:rPr>
        <w:t>win.size</w:t>
      </w:r>
      <w:proofErr w:type="spellEnd"/>
      <w:r>
        <w:rPr>
          <w:rStyle w:val="normaltextrun"/>
          <w:rFonts w:ascii="Aptos" w:hAnsi="Aptos" w:cs="Segoe UI"/>
          <w:color w:val="000000"/>
        </w:rPr>
        <w:t xml:space="preserve"> = 25, </w:t>
      </w:r>
      <w:proofErr w:type="spellStart"/>
      <w:r>
        <w:rPr>
          <w:rStyle w:val="normaltextrun"/>
          <w:rFonts w:ascii="Aptos" w:hAnsi="Aptos" w:cs="Segoe UI"/>
          <w:color w:val="000000"/>
        </w:rPr>
        <w:t>KS.cut</w:t>
      </w:r>
      <w:proofErr w:type="spellEnd"/>
      <w:r>
        <w:rPr>
          <w:rStyle w:val="normaltextrun"/>
          <w:rFonts w:ascii="Aptos" w:hAnsi="Aptos" w:cs="Segoe UI"/>
          <w:color w:val="000000"/>
        </w:rPr>
        <w:t xml:space="preserve"> = 0.05, Euclidean distance, and the hg20 annotation. The displayed analysis was restricted to cancer clone A and B cells with a neutral 7q call.</w:t>
      </w:r>
      <w:r>
        <w:rPr>
          <w:rStyle w:val="eop"/>
          <w:rFonts w:ascii="Aptos" w:hAnsi="Aptos" w:cs="Segoe UI"/>
          <w:color w:val="000000"/>
          <w:bdr w:val="none" w:sz="0" w:space="0" w:color="auto" w:frame="1"/>
          <w:shd w:val="clear" w:color="auto" w:fill="C6C6C6"/>
        </w:rPr>
        <w:t> </w:t>
      </w:r>
    </w:p>
    <w:p w:rsidR="00481DB5" w:rsidRDefault="00481DB5" w:rsidP="008A4760">
      <w:pPr>
        <w:pStyle w:val="paragraph"/>
        <w:spacing w:before="0" w:beforeAutospacing="0" w:after="0" w:afterAutospacing="0"/>
        <w:textAlignment w:val="baseline"/>
        <w:rPr>
          <w:rStyle w:val="normaltextrun"/>
          <w:rFonts w:ascii="Aptos" w:hAnsi="Aptos" w:cs="Segoe UI"/>
          <w:b/>
          <w:bCs/>
          <w:color w:val="000000"/>
        </w:rPr>
      </w:pPr>
    </w:p>
    <w:p w:rsidR="008A4760" w:rsidRDefault="008A4760" w:rsidP="008A4760">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color w:val="000000"/>
        </w:rPr>
        <w:t>Glioblastoma.</w:t>
      </w:r>
      <w:r>
        <w:rPr>
          <w:rStyle w:val="normaltextrun"/>
          <w:rFonts w:ascii="Aptos" w:hAnsi="Aptos" w:cs="Segoe UI"/>
          <w:color w:val="000000"/>
        </w:rPr>
        <w:t xml:space="preserve"> Smart-seq2 single-cell RNA sequencing data from four patients (BT_S1, BT_S2, BT_S4, BT_S6) were obtained from GSE84465 [ref]. Published Neoplastic and Regular annotations were used to define the </w:t>
      </w:r>
      <w:proofErr w:type="spellStart"/>
      <w:r>
        <w:rPr>
          <w:rStyle w:val="normaltextrun"/>
          <w:rFonts w:ascii="Aptos" w:hAnsi="Aptos" w:cs="Segoe UI"/>
          <w:color w:val="000000"/>
        </w:rPr>
        <w:t>CopyKAT</w:t>
      </w:r>
      <w:proofErr w:type="spellEnd"/>
      <w:r>
        <w:rPr>
          <w:rStyle w:val="normaltextrun"/>
          <w:rFonts w:ascii="Aptos" w:hAnsi="Aptos" w:cs="Segoe UI"/>
          <w:color w:val="000000"/>
        </w:rPr>
        <w:t xml:space="preserve"> observation and reference groups respectively. </w:t>
      </w:r>
      <w:proofErr w:type="spellStart"/>
      <w:r>
        <w:rPr>
          <w:rStyle w:val="normaltextrun"/>
          <w:rFonts w:ascii="Aptos" w:hAnsi="Aptos" w:cs="Segoe UI"/>
          <w:color w:val="000000"/>
        </w:rPr>
        <w:t>CopyKAT</w:t>
      </w:r>
      <w:proofErr w:type="spellEnd"/>
      <w:r>
        <w:rPr>
          <w:rStyle w:val="normaltextrun"/>
          <w:rFonts w:ascii="Aptos" w:hAnsi="Aptos" w:cs="Segoe UI"/>
          <w:color w:val="000000"/>
        </w:rPr>
        <w:t xml:space="preserve"> was run independently for each patient, with </w:t>
      </w:r>
      <w:proofErr w:type="spellStart"/>
      <w:r>
        <w:rPr>
          <w:rStyle w:val="normaltextrun"/>
          <w:rFonts w:ascii="Aptos" w:hAnsi="Aptos" w:cs="Segoe UI"/>
          <w:color w:val="000000"/>
        </w:rPr>
        <w:t>ngene.chr</w:t>
      </w:r>
      <w:proofErr w:type="spellEnd"/>
      <w:r>
        <w:rPr>
          <w:rStyle w:val="normaltextrun"/>
          <w:rFonts w:ascii="Aptos" w:hAnsi="Aptos" w:cs="Segoe UI"/>
          <w:color w:val="000000"/>
        </w:rPr>
        <w:t xml:space="preserve"> = 5, </w:t>
      </w:r>
      <w:proofErr w:type="spellStart"/>
      <w:r>
        <w:rPr>
          <w:rStyle w:val="normaltextrun"/>
          <w:rFonts w:ascii="Aptos" w:hAnsi="Aptos" w:cs="Segoe UI"/>
          <w:color w:val="000000"/>
        </w:rPr>
        <w:t>win.size</w:t>
      </w:r>
      <w:proofErr w:type="spellEnd"/>
      <w:r>
        <w:rPr>
          <w:rStyle w:val="normaltextrun"/>
          <w:rFonts w:ascii="Aptos" w:hAnsi="Aptos" w:cs="Segoe UI"/>
          <w:color w:val="000000"/>
        </w:rPr>
        <w:t xml:space="preserve"> = 25, </w:t>
      </w:r>
      <w:proofErr w:type="spellStart"/>
      <w:r>
        <w:rPr>
          <w:rStyle w:val="normaltextrun"/>
          <w:rFonts w:ascii="Aptos" w:hAnsi="Aptos" w:cs="Segoe UI"/>
          <w:color w:val="000000"/>
        </w:rPr>
        <w:t>KS.cut</w:t>
      </w:r>
      <w:proofErr w:type="spellEnd"/>
      <w:r>
        <w:rPr>
          <w:rStyle w:val="normaltextrun"/>
          <w:rFonts w:ascii="Aptos" w:hAnsi="Aptos" w:cs="Segoe UI"/>
          <w:color w:val="000000"/>
        </w:rPr>
        <w:t xml:space="preserve"> = 0.1, and Euclidean distance; cells with fewer than 200 detected genes or 500 total counts were excluded from </w:t>
      </w:r>
      <w:proofErr w:type="spellStart"/>
      <w:r>
        <w:rPr>
          <w:rStyle w:val="normaltextrun"/>
          <w:rFonts w:ascii="Aptos" w:hAnsi="Aptos" w:cs="Segoe UI"/>
          <w:color w:val="000000"/>
        </w:rPr>
        <w:t>CopyKAT</w:t>
      </w:r>
      <w:proofErr w:type="spellEnd"/>
      <w:r>
        <w:rPr>
          <w:rStyle w:val="normaltextrun"/>
          <w:rFonts w:ascii="Aptos" w:hAnsi="Aptos" w:cs="Segoe UI"/>
          <w:color w:val="000000"/>
        </w:rPr>
        <w:t xml:space="preserve"> input. Signal thresholds and chromosome-arm calls were therefore estimated separately within each patient. The displayed analysis was restricted to neoplastic cells with a neutral 7q call</w:t>
      </w:r>
      <w:r>
        <w:rPr>
          <w:rStyle w:val="normaltextrun"/>
          <w:rFonts w:ascii="Aptos" w:hAnsi="Aptos" w:cs="Segoe UI"/>
          <w:b/>
          <w:bCs/>
          <w:color w:val="000000"/>
        </w:rPr>
        <w:t>. </w:t>
      </w:r>
      <w:r>
        <w:rPr>
          <w:rStyle w:val="normaltextrun"/>
          <w:rFonts w:ascii="Aptos" w:hAnsi="Aptos" w:cs="Segoe UI"/>
          <w:color w:val="000000"/>
        </w:rPr>
        <w:t xml:space="preserve">Cells from all four patients were then pooled, and a single Spearman rank correlation between the 7q-excluded aneuploidy score and </w:t>
      </w:r>
      <w:proofErr w:type="spellStart"/>
      <w:r>
        <w:rPr>
          <w:rStyle w:val="normaltextrun"/>
          <w:rFonts w:ascii="Aptos" w:hAnsi="Aptos" w:cs="Segoe UI"/>
          <w:color w:val="000000"/>
        </w:rPr>
        <w:t>normalised</w:t>
      </w:r>
      <w:proofErr w:type="spellEnd"/>
      <w:r>
        <w:rPr>
          <w:rStyle w:val="normaltextrun"/>
          <w:rFonts w:ascii="Aptos" w:hAnsi="Aptos" w:cs="Segoe UI"/>
          <w:color w:val="000000"/>
        </w:rPr>
        <w:t xml:space="preserve"> UBE2H expression was calculated across the pooled cells.</w:t>
      </w:r>
      <w:r>
        <w:rPr>
          <w:rStyle w:val="eop"/>
          <w:rFonts w:ascii="Aptos" w:hAnsi="Aptos" w:cs="Segoe UI"/>
          <w:color w:val="000000"/>
          <w:bdr w:val="none" w:sz="0" w:space="0" w:color="auto" w:frame="1"/>
          <w:shd w:val="clear" w:color="auto" w:fill="C6C6C6"/>
        </w:rPr>
        <w:t> </w:t>
      </w:r>
    </w:p>
    <w:p w:rsidR="00481DB5" w:rsidRDefault="00481DB5" w:rsidP="008A4760">
      <w:pPr>
        <w:pStyle w:val="paragraph"/>
        <w:spacing w:before="0" w:beforeAutospacing="0" w:after="0" w:afterAutospacing="0"/>
        <w:textAlignment w:val="baseline"/>
        <w:rPr>
          <w:rStyle w:val="normaltextrun"/>
          <w:rFonts w:ascii="Aptos" w:hAnsi="Aptos" w:cs="Segoe UI"/>
          <w:b/>
          <w:bCs/>
          <w:color w:val="000000"/>
        </w:rPr>
      </w:pPr>
    </w:p>
    <w:p w:rsidR="008A4760" w:rsidRDefault="008A4760" w:rsidP="008A4760">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color w:val="000000"/>
        </w:rPr>
        <w:t>(Additions to Data Availability section)</w:t>
      </w:r>
      <w:r>
        <w:rPr>
          <w:rStyle w:val="eop"/>
          <w:rFonts w:ascii="Aptos" w:hAnsi="Aptos" w:cs="Segoe UI"/>
          <w:color w:val="000000"/>
          <w:bdr w:val="none" w:sz="0" w:space="0" w:color="auto" w:frame="1"/>
          <w:shd w:val="clear" w:color="auto" w:fill="C6C6C6"/>
        </w:rPr>
        <w:t> </w:t>
      </w:r>
    </w:p>
    <w:p w:rsidR="008A4760" w:rsidRDefault="008A4760" w:rsidP="008A4760">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000000"/>
        </w:rPr>
        <w:t xml:space="preserve">Publicly available datasets </w:t>
      </w:r>
      <w:proofErr w:type="spellStart"/>
      <w:r>
        <w:rPr>
          <w:rStyle w:val="normaltextrun"/>
          <w:rFonts w:ascii="Aptos" w:hAnsi="Aptos" w:cs="Segoe UI"/>
          <w:color w:val="000000"/>
        </w:rPr>
        <w:t>reanalysed</w:t>
      </w:r>
      <w:proofErr w:type="spellEnd"/>
      <w:r>
        <w:rPr>
          <w:rStyle w:val="normaltextrun"/>
          <w:rFonts w:ascii="Aptos" w:hAnsi="Aptos" w:cs="Segoe UI"/>
          <w:color w:val="000000"/>
        </w:rPr>
        <w:t xml:space="preserve"> in this study: GSE188644 (RPE-1 </w:t>
      </w:r>
      <w:r>
        <w:rPr>
          <w:rStyle w:val="normaltextrun"/>
          <w:rFonts w:ascii="Aptos" w:hAnsi="Aptos" w:cs="Segoe UI"/>
          <w:i/>
          <w:iCs/>
          <w:color w:val="000000"/>
        </w:rPr>
        <w:t>TP53</w:t>
      </w:r>
      <w:r>
        <w:rPr>
          <w:rStyle w:val="normaltextrun"/>
          <w:rFonts w:ascii="Aptos" w:hAnsi="Aptos" w:cs="Segoe UI"/>
          <w:color w:val="000000"/>
        </w:rPr>
        <w:t xml:space="preserve">-knockout bulk RNA-seq) [ref], GSE313191 (mouse </w:t>
      </w:r>
      <w:proofErr w:type="spellStart"/>
      <w:r>
        <w:rPr>
          <w:rStyle w:val="normaltextrun"/>
          <w:rFonts w:ascii="Aptos" w:hAnsi="Aptos" w:cs="Segoe UI"/>
          <w:color w:val="000000"/>
        </w:rPr>
        <w:t>ETiX</w:t>
      </w:r>
      <w:proofErr w:type="spellEnd"/>
      <w:r>
        <w:rPr>
          <w:rStyle w:val="normaltextrun"/>
          <w:rFonts w:ascii="Aptos" w:hAnsi="Aptos" w:cs="Segoe UI"/>
          <w:color w:val="000000"/>
        </w:rPr>
        <w:t xml:space="preserve"> embryoid single-cell RNA-seq) [ref], GSE111672 (pancreatic ductal adenocarcinoma single-cell RNA-seq) [ref], and GSE84465 (glioblastoma single-cell RNA-seq) [ref]. </w:t>
      </w:r>
      <w:r>
        <w:rPr>
          <w:rStyle w:val="eop"/>
          <w:rFonts w:ascii="Aptos" w:hAnsi="Aptos" w:cs="Segoe UI"/>
          <w:color w:val="000000"/>
          <w:bdr w:val="none" w:sz="0" w:space="0" w:color="auto" w:frame="1"/>
          <w:shd w:val="clear" w:color="auto" w:fill="C6C6C6"/>
        </w:rPr>
        <w:t> </w:t>
      </w:r>
    </w:p>
    <w:p w:rsidR="00481DB5" w:rsidRDefault="00481DB5" w:rsidP="008A4760">
      <w:pPr>
        <w:pStyle w:val="paragraph"/>
        <w:spacing w:before="0" w:beforeAutospacing="0" w:after="0" w:afterAutospacing="0"/>
        <w:textAlignment w:val="baseline"/>
        <w:rPr>
          <w:rStyle w:val="normaltextrun"/>
          <w:rFonts w:ascii="Aptos" w:hAnsi="Aptos" w:cs="Segoe UI"/>
          <w:b/>
          <w:bCs/>
          <w:color w:val="000000"/>
        </w:rPr>
      </w:pPr>
    </w:p>
    <w:p w:rsidR="008A4760" w:rsidRDefault="008A4760" w:rsidP="008A4760">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color w:val="000000"/>
        </w:rPr>
        <w:t>(Additions to Code Availability section)</w:t>
      </w:r>
      <w:r>
        <w:rPr>
          <w:rStyle w:val="eop"/>
          <w:rFonts w:ascii="Aptos" w:hAnsi="Aptos" w:cs="Segoe UI"/>
          <w:color w:val="000000"/>
          <w:bdr w:val="none" w:sz="0" w:space="0" w:color="auto" w:frame="1"/>
          <w:shd w:val="clear" w:color="auto" w:fill="C6C6C6"/>
        </w:rPr>
        <w:t> </w:t>
      </w:r>
    </w:p>
    <w:p w:rsidR="008A4760" w:rsidRDefault="008A4760" w:rsidP="008A4760">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000000"/>
        </w:rPr>
        <w:t>All code used to </w:t>
      </w:r>
      <w:proofErr w:type="spellStart"/>
      <w:r>
        <w:rPr>
          <w:rStyle w:val="normaltextrun"/>
          <w:rFonts w:ascii="Aptos" w:hAnsi="Aptos" w:cs="Segoe UI"/>
          <w:color w:val="000000"/>
        </w:rPr>
        <w:t>reanalyse</w:t>
      </w:r>
      <w:proofErr w:type="spellEnd"/>
      <w:r>
        <w:rPr>
          <w:rStyle w:val="normaltextrun"/>
          <w:rFonts w:ascii="Aptos" w:hAnsi="Aptos" w:cs="Segoe UI"/>
          <w:color w:val="000000"/>
        </w:rPr>
        <w:t> the published expression datasets and to generate the associated figures is available at [REPOSITORY URL]. Analyses were performed in R v4.4.1 with DESeq2 v1.44.0, Seurat v5.4.0, </w:t>
      </w:r>
      <w:proofErr w:type="spellStart"/>
      <w:r>
        <w:rPr>
          <w:rStyle w:val="normaltextrun"/>
          <w:rFonts w:ascii="Aptos" w:hAnsi="Aptos" w:cs="Segoe UI"/>
          <w:color w:val="000000"/>
        </w:rPr>
        <w:t>CopyKAT</w:t>
      </w:r>
      <w:proofErr w:type="spellEnd"/>
      <w:r>
        <w:rPr>
          <w:rStyle w:val="normaltextrun"/>
          <w:rFonts w:ascii="Aptos" w:hAnsi="Aptos" w:cs="Segoe UI"/>
          <w:color w:val="000000"/>
        </w:rPr>
        <w:t> v1.2.5, </w:t>
      </w:r>
      <w:proofErr w:type="spellStart"/>
      <w:r>
        <w:rPr>
          <w:rStyle w:val="normaltextrun"/>
          <w:rFonts w:ascii="Aptos" w:hAnsi="Aptos" w:cs="Segoe UI"/>
          <w:color w:val="000000"/>
        </w:rPr>
        <w:t>ComplexHeatmap</w:t>
      </w:r>
      <w:proofErr w:type="spellEnd"/>
      <w:r>
        <w:rPr>
          <w:rStyle w:val="normaltextrun"/>
          <w:rFonts w:ascii="Aptos" w:hAnsi="Aptos" w:cs="Segoe UI"/>
          <w:color w:val="000000"/>
        </w:rPr>
        <w:t> v2.20.0, and ggplot2 v4.0.2. Saved </w:t>
      </w:r>
      <w:proofErr w:type="spellStart"/>
      <w:r>
        <w:rPr>
          <w:rStyle w:val="normaltextrun"/>
          <w:rFonts w:ascii="Aptos" w:hAnsi="Aptos" w:cs="Segoe UI"/>
          <w:color w:val="000000"/>
        </w:rPr>
        <w:t>CopyKAT</w:t>
      </w:r>
      <w:proofErr w:type="spellEnd"/>
      <w:r>
        <w:rPr>
          <w:rStyle w:val="normaltextrun"/>
          <w:rFonts w:ascii="Aptos" w:hAnsi="Aptos" w:cs="Segoe UI"/>
          <w:color w:val="000000"/>
        </w:rPr>
        <w:t> result objects are included in the repository.</w:t>
      </w:r>
      <w:r>
        <w:rPr>
          <w:rStyle w:val="eop"/>
          <w:rFonts w:ascii="Aptos" w:hAnsi="Aptos" w:cs="Segoe UI"/>
          <w:color w:val="000000"/>
          <w:bdr w:val="none" w:sz="0" w:space="0" w:color="auto" w:frame="1"/>
          <w:shd w:val="clear" w:color="auto" w:fill="C6C6C6"/>
        </w:rPr>
        <w:t> </w:t>
      </w:r>
    </w:p>
    <w:p w:rsidR="00144688" w:rsidRDefault="00144688"/>
    <w:sectPr w:rsidR="00144688" w:rsidSect="00CC0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760"/>
    <w:rsid w:val="00061450"/>
    <w:rsid w:val="00144688"/>
    <w:rsid w:val="0036563C"/>
    <w:rsid w:val="00481DB5"/>
    <w:rsid w:val="004B52F6"/>
    <w:rsid w:val="005760FB"/>
    <w:rsid w:val="006702BE"/>
    <w:rsid w:val="006B4CE5"/>
    <w:rsid w:val="008A4760"/>
    <w:rsid w:val="00CC0A1B"/>
    <w:rsid w:val="00CF45BC"/>
    <w:rsid w:val="00D00E99"/>
    <w:rsid w:val="00D742F8"/>
    <w:rsid w:val="00E63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E763CA"/>
  <w14:defaultImageDpi w14:val="32767"/>
  <w15:chartTrackingRefBased/>
  <w15:docId w15:val="{70685AD1-84AA-5743-887C-A604B07FA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A4760"/>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8A4760"/>
  </w:style>
  <w:style w:type="character" w:customStyle="1" w:styleId="eop">
    <w:name w:val="eop"/>
    <w:basedOn w:val="DefaultParagraphFont"/>
    <w:rsid w:val="008A47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645696">
      <w:bodyDiv w:val="1"/>
      <w:marLeft w:val="0"/>
      <w:marRight w:val="0"/>
      <w:marTop w:val="0"/>
      <w:marBottom w:val="0"/>
      <w:divBdr>
        <w:top w:val="none" w:sz="0" w:space="0" w:color="auto"/>
        <w:left w:val="none" w:sz="0" w:space="0" w:color="auto"/>
        <w:bottom w:val="none" w:sz="0" w:space="0" w:color="auto"/>
        <w:right w:val="none" w:sz="0" w:space="0" w:color="auto"/>
      </w:divBdr>
      <w:divsChild>
        <w:div w:id="601382509">
          <w:marLeft w:val="0"/>
          <w:marRight w:val="0"/>
          <w:marTop w:val="0"/>
          <w:marBottom w:val="0"/>
          <w:divBdr>
            <w:top w:val="none" w:sz="0" w:space="0" w:color="auto"/>
            <w:left w:val="none" w:sz="0" w:space="0" w:color="auto"/>
            <w:bottom w:val="none" w:sz="0" w:space="0" w:color="auto"/>
            <w:right w:val="none" w:sz="0" w:space="0" w:color="auto"/>
          </w:divBdr>
        </w:div>
        <w:div w:id="260189252">
          <w:marLeft w:val="0"/>
          <w:marRight w:val="0"/>
          <w:marTop w:val="0"/>
          <w:marBottom w:val="0"/>
          <w:divBdr>
            <w:top w:val="none" w:sz="0" w:space="0" w:color="auto"/>
            <w:left w:val="none" w:sz="0" w:space="0" w:color="auto"/>
            <w:bottom w:val="none" w:sz="0" w:space="0" w:color="auto"/>
            <w:right w:val="none" w:sz="0" w:space="0" w:color="auto"/>
          </w:divBdr>
        </w:div>
        <w:div w:id="1305548024">
          <w:marLeft w:val="0"/>
          <w:marRight w:val="0"/>
          <w:marTop w:val="0"/>
          <w:marBottom w:val="0"/>
          <w:divBdr>
            <w:top w:val="none" w:sz="0" w:space="0" w:color="auto"/>
            <w:left w:val="none" w:sz="0" w:space="0" w:color="auto"/>
            <w:bottom w:val="none" w:sz="0" w:space="0" w:color="auto"/>
            <w:right w:val="none" w:sz="0" w:space="0" w:color="auto"/>
          </w:divBdr>
        </w:div>
        <w:div w:id="1981643920">
          <w:marLeft w:val="0"/>
          <w:marRight w:val="0"/>
          <w:marTop w:val="0"/>
          <w:marBottom w:val="0"/>
          <w:divBdr>
            <w:top w:val="none" w:sz="0" w:space="0" w:color="auto"/>
            <w:left w:val="none" w:sz="0" w:space="0" w:color="auto"/>
            <w:bottom w:val="none" w:sz="0" w:space="0" w:color="auto"/>
            <w:right w:val="none" w:sz="0" w:space="0" w:color="auto"/>
          </w:divBdr>
        </w:div>
        <w:div w:id="1142963937">
          <w:marLeft w:val="0"/>
          <w:marRight w:val="0"/>
          <w:marTop w:val="0"/>
          <w:marBottom w:val="0"/>
          <w:divBdr>
            <w:top w:val="none" w:sz="0" w:space="0" w:color="auto"/>
            <w:left w:val="none" w:sz="0" w:space="0" w:color="auto"/>
            <w:bottom w:val="none" w:sz="0" w:space="0" w:color="auto"/>
            <w:right w:val="none" w:sz="0" w:space="0" w:color="auto"/>
          </w:divBdr>
        </w:div>
        <w:div w:id="1217281336">
          <w:marLeft w:val="0"/>
          <w:marRight w:val="0"/>
          <w:marTop w:val="0"/>
          <w:marBottom w:val="0"/>
          <w:divBdr>
            <w:top w:val="none" w:sz="0" w:space="0" w:color="auto"/>
            <w:left w:val="none" w:sz="0" w:space="0" w:color="auto"/>
            <w:bottom w:val="none" w:sz="0" w:space="0" w:color="auto"/>
            <w:right w:val="none" w:sz="0" w:space="0" w:color="auto"/>
          </w:divBdr>
        </w:div>
        <w:div w:id="483814094">
          <w:marLeft w:val="0"/>
          <w:marRight w:val="0"/>
          <w:marTop w:val="0"/>
          <w:marBottom w:val="0"/>
          <w:divBdr>
            <w:top w:val="none" w:sz="0" w:space="0" w:color="auto"/>
            <w:left w:val="none" w:sz="0" w:space="0" w:color="auto"/>
            <w:bottom w:val="none" w:sz="0" w:space="0" w:color="auto"/>
            <w:right w:val="none" w:sz="0" w:space="0" w:color="auto"/>
          </w:divBdr>
        </w:div>
        <w:div w:id="2012560398">
          <w:marLeft w:val="0"/>
          <w:marRight w:val="0"/>
          <w:marTop w:val="0"/>
          <w:marBottom w:val="0"/>
          <w:divBdr>
            <w:top w:val="none" w:sz="0" w:space="0" w:color="auto"/>
            <w:left w:val="none" w:sz="0" w:space="0" w:color="auto"/>
            <w:bottom w:val="none" w:sz="0" w:space="0" w:color="auto"/>
            <w:right w:val="none" w:sz="0" w:space="0" w:color="auto"/>
          </w:divBdr>
        </w:div>
        <w:div w:id="1811946947">
          <w:marLeft w:val="0"/>
          <w:marRight w:val="0"/>
          <w:marTop w:val="0"/>
          <w:marBottom w:val="0"/>
          <w:divBdr>
            <w:top w:val="none" w:sz="0" w:space="0" w:color="auto"/>
            <w:left w:val="none" w:sz="0" w:space="0" w:color="auto"/>
            <w:bottom w:val="none" w:sz="0" w:space="0" w:color="auto"/>
            <w:right w:val="none" w:sz="0" w:space="0" w:color="auto"/>
          </w:divBdr>
        </w:div>
        <w:div w:id="1518081795">
          <w:marLeft w:val="0"/>
          <w:marRight w:val="0"/>
          <w:marTop w:val="0"/>
          <w:marBottom w:val="0"/>
          <w:divBdr>
            <w:top w:val="none" w:sz="0" w:space="0" w:color="auto"/>
            <w:left w:val="none" w:sz="0" w:space="0" w:color="auto"/>
            <w:bottom w:val="none" w:sz="0" w:space="0" w:color="auto"/>
            <w:right w:val="none" w:sz="0" w:space="0" w:color="auto"/>
          </w:divBdr>
        </w:div>
        <w:div w:id="1728724791">
          <w:marLeft w:val="0"/>
          <w:marRight w:val="0"/>
          <w:marTop w:val="0"/>
          <w:marBottom w:val="0"/>
          <w:divBdr>
            <w:top w:val="none" w:sz="0" w:space="0" w:color="auto"/>
            <w:left w:val="none" w:sz="0" w:space="0" w:color="auto"/>
            <w:bottom w:val="none" w:sz="0" w:space="0" w:color="auto"/>
            <w:right w:val="none" w:sz="0" w:space="0" w:color="auto"/>
          </w:divBdr>
        </w:div>
        <w:div w:id="916985555">
          <w:marLeft w:val="0"/>
          <w:marRight w:val="0"/>
          <w:marTop w:val="0"/>
          <w:marBottom w:val="0"/>
          <w:divBdr>
            <w:top w:val="none" w:sz="0" w:space="0" w:color="auto"/>
            <w:left w:val="none" w:sz="0" w:space="0" w:color="auto"/>
            <w:bottom w:val="none" w:sz="0" w:space="0" w:color="auto"/>
            <w:right w:val="none" w:sz="0" w:space="0" w:color="auto"/>
          </w:divBdr>
        </w:div>
        <w:div w:id="541669355">
          <w:marLeft w:val="0"/>
          <w:marRight w:val="0"/>
          <w:marTop w:val="0"/>
          <w:marBottom w:val="0"/>
          <w:divBdr>
            <w:top w:val="none" w:sz="0" w:space="0" w:color="auto"/>
            <w:left w:val="none" w:sz="0" w:space="0" w:color="auto"/>
            <w:bottom w:val="none" w:sz="0" w:space="0" w:color="auto"/>
            <w:right w:val="none" w:sz="0" w:space="0" w:color="auto"/>
          </w:divBdr>
        </w:div>
        <w:div w:id="1394962035">
          <w:marLeft w:val="0"/>
          <w:marRight w:val="0"/>
          <w:marTop w:val="0"/>
          <w:marBottom w:val="0"/>
          <w:divBdr>
            <w:top w:val="none" w:sz="0" w:space="0" w:color="auto"/>
            <w:left w:val="none" w:sz="0" w:space="0" w:color="auto"/>
            <w:bottom w:val="none" w:sz="0" w:space="0" w:color="auto"/>
            <w:right w:val="none" w:sz="0" w:space="0" w:color="auto"/>
          </w:divBdr>
        </w:div>
        <w:div w:id="13191173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917</Words>
  <Characters>5230</Characters>
  <Application>Microsoft Office Word</Application>
  <DocSecurity>0</DocSecurity>
  <Lines>43</Lines>
  <Paragraphs>12</Paragraphs>
  <ScaleCrop>false</ScaleCrop>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2026-08-31T21:01:00Z</dcterms:created>
  <dcterms:modified xsi:type="dcterms:W3CDTF">2026-08-31T21:03:00Z</dcterms:modified>
</cp:coreProperties>
</file>