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rPr/>
      </w:pPr>
      <w:r>
        <w:rPr>
          <w:b/>
          <w:bCs/>
          <w:color w:val="1f3864"/>
          <w:sz w:val="40"/>
          <w:szCs w:val="40"/>
        </w:rPr>
        <w:t xml:space="preserve">Blockchain-Integrated Diabetic Retinopathy Diagnosis System</w:t>
      </w:r>
      <w:r/>
    </w:p>
    <w:p>
      <w:pPr>
        <w:pBdr/>
        <w:spacing w:after="400"/>
        <w:ind/>
        <w:rPr/>
      </w:pPr>
      <w:r>
        <w:rPr>
          <w:i/>
          <w:iCs/>
          <w:color w:val="2e75b6"/>
          <w:sz w:val="24"/>
          <w:szCs w:val="24"/>
        </w:rPr>
        <w:t xml:space="preserve">Consent-Governed, Tamper-Evident Multi-Stakeholder Architecture for AI-Assisted Diagnosis</w:t>
      </w:r>
      <w:r/>
    </w:p>
    <w:p>
      <w:pPr>
        <w:pBdr>
          <w:bottom w:val="single" w:color="2e75b6" w:sz="6" w:space="0"/>
        </w:pBdr>
        <w:spacing w:after="300"/>
        <w:ind/>
        <w:rPr/>
      </w:pPr>
      <w:r/>
      <w:r/>
    </w:p>
    <w:p>
      <w:pPr>
        <w:pStyle w:val="708"/>
        <w:pBdr/>
        <w:spacing w:after="160" w:before="360"/>
        <w:ind/>
        <w:rPr/>
      </w:pPr>
      <w:r>
        <w:t xml:space="preserve">1. Introduction &amp; Objective</w:t>
      </w:r>
      <w:r/>
    </w:p>
    <w:p>
      <w:pPr>
        <w:pBdr/>
        <w:spacing w:after="160"/>
        <w:ind/>
        <w:jc w:val="both"/>
        <w:rPr/>
      </w:pPr>
      <w:r>
        <w:t xml:space="preserve">This project implements a private, permissioned blockchain layer on top of an existing AI-based Diabetic Retinopathy (DR) diagnosis pipeline. The objective was to move beyond the </w:t>
      </w:r>
      <w:r>
        <w:t xml:space="preserve">centralized system by introducing patient-owned consent, an immutable audit trail, tamper-evident record keeping, and accountable emergency and cross-doctor access, properties that a conventional centralized database cannot cryptographically guarantee.</w:t>
      </w:r>
      <w:r/>
    </w:p>
    <w:p>
      <w:pPr>
        <w:pBdr/>
        <w:spacing w:after="160"/>
        <w:ind/>
        <w:jc w:val="both"/>
        <w:rPr/>
      </w:pPr>
      <w:r>
        <w:t xml:space="preserve">The underlying AI model (MobileNetV2-based binary classifier with test-time augmentation) was developed prior to this phas</w:t>
      </w:r>
      <w:r>
        <w:t xml:space="preserve">e of the work. This documentation focuses on the blockchain integration layer, how it changes the system's guarantees compared to the centralized deployment.</w:t>
      </w:r>
      <w:r/>
    </w:p>
    <w:p>
      <w:pPr>
        <w:pStyle w:val="708"/>
        <w:pBdr/>
        <w:spacing w:after="160" w:before="360"/>
        <w:ind/>
        <w:rPr/>
      </w:pPr>
      <w:r>
        <w:t xml:space="preserve">2. System Architecture Overview</w:t>
      </w:r>
      <w:r/>
    </w:p>
    <w:p>
      <w:pPr>
        <w:pBdr/>
        <w:spacing w:after="160"/>
        <w:ind/>
        <w:jc w:val="both"/>
        <w:rPr/>
      </w:pPr>
      <w:r>
        <w:t xml:space="preserve">The system is built around a Solidity smart contract deployed on a private Ethereum-compatible network, accessed through a role-based command-line interface with three roles: Admin, </w:t>
      </w:r>
      <w:r>
        <w:t xml:space="preserve">Doctor, and Patient. Diagnosis images themselves are kept off-chain; only their SHA-256 hash and associated metadata are written on-chain, following a hybrid on-chain/off-chain storage model that keeps gas costs low while still making tampering detectable.</w:t>
      </w:r>
      <w:r/>
    </w:p>
    <w:p>
      <w:pPr>
        <w:pStyle w:val="709"/>
        <w:pBdr/>
        <w:spacing w:after="120" w:before="260"/>
        <w:ind/>
        <w:rPr/>
      </w:pPr>
      <w:r>
        <w:t xml:space="preserve">2.1 Roles and Capabilities</w:t>
      </w:r>
      <w:r/>
    </w:p>
    <w:p>
      <w:pPr>
        <w:pBdr/>
        <w:spacing w:after="120"/>
        <w:ind/>
        <w:rPr/>
      </w:pPr>
      <w:r>
        <w:rPr>
          <w:b/>
          <w:bCs/>
        </w:rPr>
        <w:t xml:space="preserve">Admin: </w:t>
      </w:r>
      <w:r>
        <w:t xml:space="preserve">Registers patients and assigns their primary doctor, reassigns doctors, authorizes external consulting doctors, and can invoke emergency access with a permanently logged reason.</w:t>
      </w:r>
      <w:r/>
    </w:p>
    <w:p>
      <w:pPr>
        <w:pBdr/>
        <w:spacing w:after="120"/>
        <w:ind/>
        <w:rPr/>
      </w:pPr>
      <w:r>
        <w:rPr>
          <w:b/>
          <w:bCs/>
        </w:rPr>
        <w:t xml:space="preserve">Doctor: </w:t>
      </w:r>
      <w:r>
        <w:t xml:space="preserve">Views assigned pa</w:t>
      </w:r>
      <w:r>
        <w:t xml:space="preserve">tients, uploads AI-assisted diagnoses and records a decision (agree/override), requests a second opinion from a named colleague, and once authorized and consented, or specifically requested for a second opinion — can view another doctor's patient record.</w:t>
      </w:r>
      <w:r/>
    </w:p>
    <w:p>
      <w:pPr>
        <w:pBdr/>
        <w:spacing w:after="120"/>
        <w:ind/>
        <w:rPr/>
      </w:pPr>
      <w:r>
        <w:rPr>
          <w:b/>
          <w:bCs/>
        </w:rPr>
        <w:t xml:space="preserve">Patient: </w:t>
      </w:r>
      <w:r>
        <w:t xml:space="preserve">Views their own diagnosis history and doctor decisions, and is the only one who can grant or revoke consent for their data.</w:t>
      </w:r>
      <w:r/>
    </w:p>
    <w:p>
      <w:pPr>
        <w:pStyle w:val="708"/>
        <w:pBdr/>
        <w:spacing w:after="160" w:before="360"/>
        <w:ind/>
        <w:rPr/>
      </w:pPr>
      <w:r>
        <w:t xml:space="preserve">3. AI Diagnosis Pipeline</w:t>
      </w:r>
      <w:r/>
    </w:p>
    <w:p>
      <w:pPr>
        <w:pBdr/>
        <w:spacing w:after="160"/>
        <w:ind/>
        <w:jc w:val="both"/>
        <w:rPr/>
      </w:pPr>
      <w:r>
        <w:t xml:space="preserve">Diagnoses </w:t>
      </w:r>
      <w:r>
        <w:t xml:space="preserve">are produced by a MobileNetV2-based binary classifier (DR / No DR) operating at a decision threshold of 0.30, chosen to favour recall on the positive (DR) class — appropriate for a screening context where missing a true case is costlier than a false alarm.</w:t>
      </w:r>
      <w:r/>
    </w:p>
    <w:p>
      <w:pPr>
        <w:pStyle w:val="709"/>
        <w:pBdr/>
        <w:spacing w:after="120" w:before="260"/>
        <w:ind/>
        <w:rPr/>
      </w:pPr>
      <w:r>
        <w:t xml:space="preserve">3.1 Test-Time Augmentation (TTA)</w:t>
      </w:r>
      <w:r/>
    </w:p>
    <w:p>
      <w:pPr>
        <w:pBdr/>
        <w:spacing w:after="160"/>
        <w:ind/>
        <w:jc w:val="both"/>
        <w:rPr/>
      </w:pPr>
      <w:r>
        <w:t xml:space="preserve">Rather than a single forward pass, each image is evaluated four times — the original image,</w:t>
      </w:r>
      <w:r>
        <w:t xml:space="preserve"> a horizontal flip, a vertical flip, and both flips combined — and the four probabilities are averaged before thresholding. This reduces the model's sensitivity to image orientation and produces a more stable confidence score than a single-pass prediction.</w:t>
      </w:r>
      <w:r/>
    </w:p>
    <w:p>
      <w:pPr>
        <w:pStyle w:val="709"/>
        <w:pBdr/>
        <w:spacing w:after="120" w:before="260"/>
        <w:ind/>
        <w:rPr/>
      </w:pPr>
      <w:r>
        <w:t xml:space="preserve">3.2 Iterative Learning Pipeline</w:t>
      </w:r>
      <w:r/>
    </w:p>
    <w:p>
      <w:pPr>
        <w:pBdr/>
        <w:spacing w:after="160"/>
        <w:ind/>
        <w:jc w:val="both"/>
        <w:rPr/>
      </w:pPr>
      <w:r>
        <w:t xml:space="preserve">The system includes a retraini</w:t>
      </w:r>
      <w:r>
        <w:t xml:space="preserve">ng pipeline (retrain_pipeline()) that fine-tunes only the last 10 layers of the network, at a low learning rate, on accumulated doctor-override and borderline-confidence cases, combined with a small rehearsal sample of original training data to reduce cata</w:t>
      </w:r>
      <w:r>
        <w:t xml:space="preserve">strophic forgetting. Once a retrained model is saved, get_latest_model() automatically prefers it over the original for all subsequent predictions, the system always runs inference on the newest available model version without any manual switch-over step.</w:t>
      </w:r>
      <w:r/>
    </w:p>
    <w:p>
      <w:pPr>
        <w:pStyle w:val="709"/>
        <w:pBdr/>
        <w:spacing w:after="120" w:before="260"/>
        <w:ind/>
        <w:rPr/>
      </w:pPr>
      <w:r>
        <w:t xml:space="preserve">3.3 Measured Model Performance</w:t>
      </w:r>
      <w:r/>
    </w:p>
    <w:p>
      <w:pPr>
        <w:pBdr/>
        <w:spacing w:after="160"/>
        <w:ind/>
        <w:jc w:val="both"/>
        <w:rPr/>
      </w:pPr>
      <w:r>
        <w:t xml:space="preserve">The following results were obtained on the held-out EyePACS test set (600 images, balanced across classes) at the deployed threshold of 0.30:</w:t>
      </w:r>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30"/>
      </w:tblGrid>
      <w:tr>
        <w:trPr>
          <w:tblHeader/>
        </w:trPr>
        <w:tc>
          <w:tcPr>
            <w:shd w:val="clear" w:color="auto" w:fill="1f3864"/>
            <w:tcBorders/>
            <w:tcW w:w="2340" w:type="dxa"/>
            <w:vAlign w:val="center"/>
          </w:tcPr>
          <w:p>
            <w:pPr>
              <w:pBdr/>
              <w:spacing/>
              <w:ind/>
              <w:jc w:val="left"/>
              <w:rPr/>
            </w:pPr>
            <w:r>
              <w:rPr>
                <w:b/>
                <w:bCs/>
                <w:color w:val="ffffff"/>
              </w:rPr>
              <w:t xml:space="preserve">Class</w:t>
            </w:r>
            <w:r/>
          </w:p>
        </w:tc>
        <w:tc>
          <w:tcPr>
            <w:shd w:val="clear" w:color="auto" w:fill="1f3864"/>
            <w:tcBorders/>
            <w:tcW w:w="2340" w:type="dxa"/>
            <w:vAlign w:val="center"/>
          </w:tcPr>
          <w:p>
            <w:pPr>
              <w:pBdr/>
              <w:spacing/>
              <w:ind/>
              <w:jc w:val="left"/>
              <w:rPr/>
            </w:pPr>
            <w:r>
              <w:rPr>
                <w:b/>
                <w:bCs/>
                <w:color w:val="ffffff"/>
              </w:rPr>
              <w:t xml:space="preserve">Precision</w:t>
            </w:r>
            <w:r/>
          </w:p>
        </w:tc>
        <w:tc>
          <w:tcPr>
            <w:shd w:val="clear" w:color="auto" w:fill="1f3864"/>
            <w:tcBorders/>
            <w:tcW w:w="2340" w:type="dxa"/>
            <w:vAlign w:val="center"/>
          </w:tcPr>
          <w:p>
            <w:pPr>
              <w:pBdr/>
              <w:spacing/>
              <w:ind/>
              <w:jc w:val="left"/>
              <w:rPr/>
            </w:pPr>
            <w:r>
              <w:rPr>
                <w:b/>
                <w:bCs/>
                <w:color w:val="ffffff"/>
              </w:rPr>
              <w:t xml:space="preserve">Recall</w:t>
            </w:r>
            <w:r/>
          </w:p>
        </w:tc>
        <w:tc>
          <w:tcPr>
            <w:shd w:val="clear" w:color="auto" w:fill="1f3864"/>
            <w:tcBorders/>
            <w:tcW w:w="2330" w:type="dxa"/>
            <w:vAlign w:val="center"/>
          </w:tcPr>
          <w:p>
            <w:pPr>
              <w:pBdr/>
              <w:spacing/>
              <w:ind/>
              <w:jc w:val="left"/>
              <w:rPr/>
            </w:pPr>
            <w:r>
              <w:rPr>
                <w:b/>
                <w:bCs/>
                <w:color w:val="ffffff"/>
              </w:rPr>
              <w:t xml:space="preserve">F1-score</w:t>
            </w:r>
            <w:r/>
          </w:p>
        </w:tc>
      </w:tr>
      <w:tr>
        <w:trPr/>
        <w:tc>
          <w:tcPr>
            <w:shd w:val="clear" w:color="auto" w:fill="f2f2f2"/>
            <w:tcBorders/>
            <w:tcW w:w="2340" w:type="dxa"/>
            <w:vAlign w:val="center"/>
          </w:tcPr>
          <w:p>
            <w:pPr>
              <w:pBdr/>
              <w:spacing/>
              <w:ind/>
              <w:jc w:val="left"/>
              <w:rPr/>
            </w:pPr>
            <w:r>
              <w:rPr>
                <w:b w:val="0"/>
                <w:bCs w:val="0"/>
              </w:rPr>
              <w:t xml:space="preserve">No DR (Nrdr)</w:t>
            </w:r>
            <w:r/>
          </w:p>
        </w:tc>
        <w:tc>
          <w:tcPr>
            <w:tcBorders/>
            <w:tcW w:w="2340" w:type="dxa"/>
            <w:vAlign w:val="center"/>
          </w:tcPr>
          <w:p>
            <w:pPr>
              <w:pBdr/>
              <w:spacing/>
              <w:ind/>
              <w:jc w:val="left"/>
              <w:rPr/>
            </w:pPr>
            <w:r>
              <w:rPr>
                <w:b w:val="0"/>
                <w:bCs w:val="0"/>
              </w:rPr>
              <w:t xml:space="preserve">0.8286</w:t>
            </w:r>
            <w:r/>
          </w:p>
        </w:tc>
        <w:tc>
          <w:tcPr>
            <w:tcBorders/>
            <w:tcW w:w="2340" w:type="dxa"/>
            <w:vAlign w:val="center"/>
          </w:tcPr>
          <w:p>
            <w:pPr>
              <w:pBdr/>
              <w:spacing/>
              <w:ind/>
              <w:jc w:val="left"/>
              <w:rPr/>
            </w:pPr>
            <w:r>
              <w:rPr>
                <w:b w:val="0"/>
                <w:bCs w:val="0"/>
              </w:rPr>
              <w:t xml:space="preserve">0.6767</w:t>
            </w:r>
            <w:r/>
          </w:p>
        </w:tc>
        <w:tc>
          <w:tcPr>
            <w:tcBorders/>
            <w:tcW w:w="2330" w:type="dxa"/>
            <w:vAlign w:val="center"/>
          </w:tcPr>
          <w:p>
            <w:pPr>
              <w:pBdr/>
              <w:spacing/>
              <w:ind/>
              <w:jc w:val="left"/>
              <w:rPr/>
            </w:pPr>
            <w:r>
              <w:rPr>
                <w:b w:val="0"/>
                <w:bCs w:val="0"/>
              </w:rPr>
              <w:t xml:space="preserve">0.7450</w:t>
            </w:r>
            <w:r/>
          </w:p>
        </w:tc>
      </w:tr>
      <w:tr>
        <w:trPr/>
        <w:tc>
          <w:tcPr>
            <w:shd w:val="clear" w:color="auto" w:fill="f2f2f2"/>
            <w:tcBorders/>
            <w:tcW w:w="2340" w:type="dxa"/>
            <w:vAlign w:val="center"/>
          </w:tcPr>
          <w:p>
            <w:pPr>
              <w:pBdr/>
              <w:spacing/>
              <w:ind/>
              <w:jc w:val="left"/>
              <w:rPr/>
            </w:pPr>
            <w:r>
              <w:rPr>
                <w:b w:val="0"/>
                <w:bCs w:val="0"/>
              </w:rPr>
              <w:t xml:space="preserve">DR (Rdr)</w:t>
            </w:r>
            <w:r/>
          </w:p>
        </w:tc>
        <w:tc>
          <w:tcPr>
            <w:tcBorders/>
            <w:tcW w:w="2340" w:type="dxa"/>
            <w:vAlign w:val="center"/>
          </w:tcPr>
          <w:p>
            <w:pPr>
              <w:pBdr/>
              <w:spacing/>
              <w:ind/>
              <w:jc w:val="left"/>
              <w:rPr/>
            </w:pPr>
            <w:r>
              <w:rPr>
                <w:b w:val="0"/>
                <w:bCs w:val="0"/>
              </w:rPr>
              <w:t xml:space="preserve">0.7268</w:t>
            </w:r>
            <w:r/>
          </w:p>
        </w:tc>
        <w:tc>
          <w:tcPr>
            <w:tcBorders/>
            <w:tcW w:w="2340" w:type="dxa"/>
            <w:vAlign w:val="center"/>
          </w:tcPr>
          <w:p>
            <w:pPr>
              <w:pBdr/>
              <w:spacing/>
              <w:ind/>
              <w:jc w:val="left"/>
              <w:rPr/>
            </w:pPr>
            <w:r>
              <w:rPr>
                <w:b w:val="0"/>
                <w:bCs w:val="0"/>
              </w:rPr>
              <w:t xml:space="preserve">0.8600</w:t>
            </w:r>
            <w:r/>
          </w:p>
        </w:tc>
        <w:tc>
          <w:tcPr>
            <w:tcBorders/>
            <w:tcW w:w="2330" w:type="dxa"/>
            <w:vAlign w:val="center"/>
          </w:tcPr>
          <w:p>
            <w:pPr>
              <w:pBdr/>
              <w:spacing/>
              <w:ind/>
              <w:jc w:val="left"/>
              <w:rPr/>
            </w:pPr>
            <w:r>
              <w:rPr>
                <w:b w:val="0"/>
                <w:bCs w:val="0"/>
              </w:rPr>
              <w:t xml:space="preserve">0.7878</w:t>
            </w:r>
            <w:r/>
          </w:p>
        </w:tc>
      </w:tr>
      <w:tr>
        <w:trPr/>
        <w:tc>
          <w:tcPr>
            <w:shd w:val="clear" w:color="auto" w:fill="f2f2f2"/>
            <w:tcBorders/>
            <w:tcW w:w="2340" w:type="dxa"/>
            <w:vAlign w:val="center"/>
          </w:tcPr>
          <w:p>
            <w:pPr>
              <w:pBdr/>
              <w:spacing/>
              <w:ind/>
              <w:jc w:val="left"/>
              <w:rPr/>
            </w:pPr>
            <w:r>
              <w:rPr>
                <w:b/>
                <w:bCs/>
              </w:rPr>
              <w:t xml:space="preserve">Overall Accuracy</w:t>
            </w:r>
            <w:r/>
          </w:p>
        </w:tc>
        <w:tc>
          <w:tcPr>
            <w:gridSpan w:val="3"/>
            <w:shd w:val="clear" w:color="auto" w:fill="ffffff"/>
            <w:tcBorders/>
            <w:tcW w:w="7010" w:type="dxa"/>
          </w:tcPr>
          <w:p>
            <w:pPr>
              <w:pBdr/>
              <w:spacing/>
              <w:ind/>
              <w:rPr/>
            </w:pPr>
            <w:r>
              <w:rPr>
                <w:b/>
                <w:bCs/>
              </w:rPr>
              <w:t xml:space="preserve">76.83%</w:t>
            </w:r>
            <w:r/>
          </w:p>
        </w:tc>
      </w:tr>
      <w:tr>
        <w:trPr/>
        <w:tc>
          <w:tcPr>
            <w:shd w:val="clear" w:color="auto" w:fill="f2f2f2"/>
            <w:tcBorders/>
            <w:tcW w:w="2340" w:type="dxa"/>
            <w:vAlign w:val="center"/>
          </w:tcPr>
          <w:p>
            <w:pPr>
              <w:pBdr/>
              <w:spacing/>
              <w:ind/>
              <w:jc w:val="left"/>
              <w:rPr/>
            </w:pPr>
            <w:r>
              <w:rPr>
                <w:b/>
                <w:bCs/>
              </w:rPr>
              <w:t xml:space="preserve">Overall AUC</w:t>
            </w:r>
            <w:r/>
          </w:p>
        </w:tc>
        <w:tc>
          <w:tcPr>
            <w:gridSpan w:val="3"/>
            <w:tcBorders/>
            <w:tcW w:w="7010" w:type="dxa"/>
          </w:tcPr>
          <w:p>
            <w:pPr>
              <w:pBdr/>
              <w:spacing/>
              <w:ind/>
              <w:rPr/>
            </w:pPr>
            <w:r>
              <w:rPr>
                <w:b/>
                <w:bCs/>
              </w:rPr>
              <w:t xml:space="preserve">0.8698</w:t>
            </w:r>
            <w:r/>
          </w:p>
        </w:tc>
      </w:tr>
    </w:tbl>
    <w:p>
      <w:pPr>
        <w:pBdr/>
        <w:spacing w:before="240"/>
        <w:ind/>
        <w:jc w:val="both"/>
        <w:rPr>
          <w:b/>
          <w:bCs/>
          <w:highlight w:val="none"/>
        </w:rPr>
      </w:pPr>
      <w:r>
        <w:rPr>
          <w:b/>
          <w:bCs/>
        </w:rPr>
        <w:t xml:space="preserve">Confusion matrix:</w:t>
      </w:r>
      <w:r>
        <w:rPr>
          <w:b/>
          <w:bCs/>
        </w:rPr>
      </w: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000"/>
        <w:gridCol w:w="2000"/>
      </w:tblGrid>
      <w:tr>
        <w:trPr/>
        <w:tc>
          <w:tcPr>
            <w:shd w:val="clear" w:color="auto" w:fill="1f3864"/>
            <w:tcBorders/>
            <w:tcW w:w="2000" w:type="dxa"/>
            <w:vAlign w:val="center"/>
          </w:tcPr>
          <w:p>
            <w:pPr>
              <w:pBdr/>
              <w:spacing/>
              <w:ind/>
              <w:jc w:val="left"/>
              <w:rPr/>
            </w:pPr>
            <w:r>
              <w:rPr>
                <w:b w:val="0"/>
                <w:bCs w:val="0"/>
              </w:rPr>
            </w:r>
            <w:r/>
          </w:p>
        </w:tc>
        <w:tc>
          <w:tcPr>
            <w:shd w:val="clear" w:color="auto" w:fill="1f3864"/>
            <w:tcBorders/>
            <w:tcW w:w="2000" w:type="dxa"/>
            <w:vAlign w:val="center"/>
          </w:tcPr>
          <w:p>
            <w:pPr>
              <w:pBdr/>
              <w:spacing/>
              <w:ind/>
              <w:jc w:val="left"/>
              <w:rPr/>
            </w:pPr>
            <w:r>
              <w:rPr>
                <w:b/>
                <w:bCs/>
                <w:color w:val="ffffff"/>
              </w:rPr>
              <w:t xml:space="preserve">Predicted: No DR</w:t>
            </w:r>
            <w:r/>
          </w:p>
        </w:tc>
        <w:tc>
          <w:tcPr>
            <w:shd w:val="clear" w:color="auto" w:fill="1f3864"/>
            <w:tcBorders/>
            <w:tcW w:w="2000" w:type="dxa"/>
            <w:vAlign w:val="center"/>
          </w:tcPr>
          <w:p>
            <w:pPr>
              <w:pBdr/>
              <w:spacing/>
              <w:ind/>
              <w:jc w:val="left"/>
              <w:rPr/>
            </w:pPr>
            <w:r>
              <w:rPr>
                <w:b/>
                <w:bCs/>
                <w:color w:val="ffffff"/>
              </w:rPr>
              <w:t xml:space="preserve">Predicted: DR</w:t>
            </w:r>
            <w:r/>
          </w:p>
        </w:tc>
      </w:tr>
      <w:tr>
        <w:trPr/>
        <w:tc>
          <w:tcPr>
            <w:shd w:val="clear" w:color="auto" w:fill="f2f2f2"/>
            <w:tcBorders/>
            <w:tcW w:w="2000" w:type="dxa"/>
            <w:vAlign w:val="center"/>
          </w:tcPr>
          <w:p>
            <w:pPr>
              <w:pBdr/>
              <w:spacing/>
              <w:ind/>
              <w:jc w:val="left"/>
              <w:rPr/>
            </w:pPr>
            <w:r>
              <w:rPr>
                <w:b/>
                <w:bCs/>
              </w:rPr>
              <w:t xml:space="preserve">Actual: No DR</w:t>
            </w:r>
            <w:r/>
          </w:p>
        </w:tc>
        <w:tc>
          <w:tcPr>
            <w:tcBorders/>
            <w:tcW w:w="2000" w:type="dxa"/>
            <w:vAlign w:val="center"/>
          </w:tcPr>
          <w:p>
            <w:pPr>
              <w:pBdr/>
              <w:spacing/>
              <w:ind/>
              <w:jc w:val="left"/>
              <w:rPr/>
            </w:pPr>
            <w:r>
              <w:rPr>
                <w:b w:val="0"/>
                <w:bCs w:val="0"/>
              </w:rPr>
              <w:t xml:space="preserve">203</w:t>
            </w:r>
            <w:r/>
          </w:p>
        </w:tc>
        <w:tc>
          <w:tcPr>
            <w:tcBorders/>
            <w:tcW w:w="2000" w:type="dxa"/>
            <w:vAlign w:val="center"/>
          </w:tcPr>
          <w:p>
            <w:pPr>
              <w:pBdr/>
              <w:spacing/>
              <w:ind/>
              <w:jc w:val="left"/>
              <w:rPr/>
            </w:pPr>
            <w:r>
              <w:rPr>
                <w:b w:val="0"/>
                <w:bCs w:val="0"/>
              </w:rPr>
              <w:t xml:space="preserve">97</w:t>
            </w:r>
            <w:r/>
          </w:p>
        </w:tc>
      </w:tr>
      <w:tr>
        <w:trPr/>
        <w:tc>
          <w:tcPr>
            <w:shd w:val="clear" w:color="auto" w:fill="f2f2f2"/>
            <w:tcBorders/>
            <w:tcW w:w="2000" w:type="dxa"/>
            <w:vAlign w:val="center"/>
          </w:tcPr>
          <w:p>
            <w:pPr>
              <w:pBdr/>
              <w:spacing/>
              <w:ind/>
              <w:jc w:val="left"/>
              <w:rPr/>
            </w:pPr>
            <w:r>
              <w:rPr>
                <w:b/>
                <w:bCs/>
              </w:rPr>
              <w:t xml:space="preserve">Actual: DR</w:t>
            </w:r>
            <w:r/>
          </w:p>
        </w:tc>
        <w:tc>
          <w:tcPr>
            <w:tcBorders/>
            <w:tcW w:w="2000" w:type="dxa"/>
            <w:vAlign w:val="center"/>
          </w:tcPr>
          <w:p>
            <w:pPr>
              <w:pBdr/>
              <w:spacing/>
              <w:ind/>
              <w:jc w:val="left"/>
              <w:rPr/>
            </w:pPr>
            <w:r>
              <w:rPr>
                <w:b w:val="0"/>
                <w:bCs w:val="0"/>
              </w:rPr>
              <w:t xml:space="preserve">42</w:t>
            </w:r>
            <w:r/>
          </w:p>
        </w:tc>
        <w:tc>
          <w:tcPr>
            <w:tcBorders/>
            <w:tcW w:w="2000" w:type="dxa"/>
            <w:vAlign w:val="center"/>
          </w:tcPr>
          <w:p>
            <w:pPr>
              <w:pBdr/>
              <w:spacing/>
              <w:ind/>
              <w:jc w:val="left"/>
              <w:rPr/>
            </w:pPr>
            <w:r>
              <w:rPr>
                <w:b w:val="0"/>
                <w:bCs w:val="0"/>
              </w:rPr>
              <w:t xml:space="preserve">258</w:t>
            </w:r>
            <w:r/>
          </w:p>
        </w:tc>
      </w:tr>
    </w:tbl>
    <w:p>
      <w:pPr>
        <w:pBdr/>
        <w:spacing w:after="200"/>
        <w:ind/>
        <w:rPr/>
      </w:pPr>
      <w:r/>
      <w:r/>
    </w:p>
    <w:p>
      <w:pPr>
        <w:pBdr/>
        <w:spacing w:after="160"/>
        <w:ind/>
        <w:jc w:val="both"/>
        <w:rPr/>
      </w:pPr>
      <w:r>
        <w:t xml:space="preserve">A threshold sweep (0.20–0.50) was also performed, confirming the expected precision/recall</w:t>
      </w:r>
      <w:r>
        <w:t xml:space="preserve"> trade-off: lower thresholds favour recall (0.86 recall at 0.20) at the cost of precision, while higher thresholds favour precision (0.88 at 0.50) at the cost of missed DR cases. The deployed threshold of 0.30 was chosen as a screening-appropriate balance.</w:t>
      </w:r>
      <w:r/>
    </w:p>
    <w:p>
      <w:pPr>
        <w:pStyle w:val="708"/>
        <w:pBdr/>
        <w:spacing w:after="160" w:before="360"/>
        <w:ind/>
        <w:rPr/>
      </w:pPr>
      <w:r>
        <w:t xml:space="preserve">4. What This System Adds Over the Currently Deployed Centralized System</w:t>
      </w:r>
      <w:r/>
    </w:p>
    <w:p>
      <w:pPr>
        <w:pBdr/>
        <w:spacing w:after="160"/>
        <w:ind/>
        <w:jc w:val="both"/>
        <w:rPr/>
      </w:pPr>
      <w:r>
        <w:t xml:space="preserve">The central question this project answers is no</w:t>
      </w:r>
      <w:r>
        <w:t xml:space="preserve">t whether AI diagnosis works — that already existed — but what changes when the same workflow is governed by a permissioned blockchain instead of a conventional database. The table below summarizes the concrete differences that were implemented and tested.</w:t>
      </w:r>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400"/>
        <w:gridCol w:w="3350"/>
      </w:tblGrid>
      <w:tr>
        <w:trPr>
          <w:tblHeader/>
        </w:trPr>
        <w:tc>
          <w:tcPr>
            <w:shd w:val="clear" w:color="auto" w:fill="1f3864"/>
            <w:tcBorders/>
            <w:tcW w:w="2600" w:type="dxa"/>
            <w:vAlign w:val="center"/>
          </w:tcPr>
          <w:p>
            <w:pPr>
              <w:pBdr/>
              <w:spacing/>
              <w:ind/>
              <w:jc w:val="left"/>
              <w:rPr/>
            </w:pPr>
            <w:r>
              <w:rPr>
                <w:b/>
                <w:bCs/>
                <w:color w:val="ffffff"/>
              </w:rPr>
              <w:t xml:space="preserve">Capability</w:t>
            </w:r>
            <w:r/>
          </w:p>
        </w:tc>
        <w:tc>
          <w:tcPr>
            <w:shd w:val="clear" w:color="auto" w:fill="1f3864"/>
            <w:tcBorders/>
            <w:tcW w:w="3400" w:type="dxa"/>
            <w:vAlign w:val="center"/>
          </w:tcPr>
          <w:p>
            <w:pPr>
              <w:pBdr/>
              <w:spacing/>
              <w:ind/>
              <w:jc w:val="left"/>
              <w:rPr/>
            </w:pPr>
            <w:r>
              <w:rPr>
                <w:b/>
                <w:bCs/>
                <w:color w:val="ffffff"/>
              </w:rPr>
              <w:t xml:space="preserve">Centralized System</w:t>
            </w:r>
            <w:r/>
          </w:p>
        </w:tc>
        <w:tc>
          <w:tcPr>
            <w:shd w:val="clear" w:color="auto" w:fill="1f3864"/>
            <w:tcBorders/>
            <w:tcW w:w="3350" w:type="dxa"/>
            <w:vAlign w:val="center"/>
          </w:tcPr>
          <w:p>
            <w:pPr>
              <w:pBdr/>
              <w:spacing/>
              <w:ind/>
              <w:jc w:val="left"/>
              <w:rPr/>
            </w:pPr>
            <w:r>
              <w:rPr>
                <w:b/>
                <w:bCs/>
                <w:color w:val="ffffff"/>
              </w:rPr>
              <w:t xml:space="preserve">Blockchain-Based System</w:t>
            </w:r>
            <w:r/>
          </w:p>
        </w:tc>
      </w:tr>
      <w:tr>
        <w:trPr/>
        <w:tc>
          <w:tcPr>
            <w:shd w:val="clear" w:color="auto" w:fill="f2f2f2"/>
            <w:tcBorders/>
            <w:tcW w:w="2600" w:type="dxa"/>
            <w:vAlign w:val="center"/>
          </w:tcPr>
          <w:p>
            <w:pPr>
              <w:pBdr/>
              <w:spacing/>
              <w:ind/>
              <w:jc w:val="left"/>
              <w:rPr/>
            </w:pPr>
            <w:r>
              <w:rPr>
                <w:b/>
                <w:bCs/>
              </w:rPr>
              <w:t xml:space="preserve">Data access consent</w:t>
            </w:r>
            <w:r/>
          </w:p>
        </w:tc>
        <w:tc>
          <w:tcPr>
            <w:shd w:val="clear" w:color="auto" w:fill="fce4d6"/>
            <w:tcBorders/>
            <w:tcW w:w="3400" w:type="dxa"/>
            <w:vAlign w:val="center"/>
          </w:tcPr>
          <w:p>
            <w:pPr>
              <w:pBdr/>
              <w:spacing/>
              <w:ind/>
              <w:jc w:val="left"/>
              <w:rPr/>
            </w:pPr>
            <w:r>
              <w:rPr>
                <w:b w:val="0"/>
                <w:bCs w:val="0"/>
              </w:rPr>
              <w:t xml:space="preserve">Admin/DB owner can grant or revoke access on the patient's behalf; patient has no cryptographic control.</w:t>
            </w:r>
            <w:r/>
          </w:p>
        </w:tc>
        <w:tc>
          <w:tcPr>
            <w:shd w:val="clear" w:color="auto" w:fill="e2efda"/>
            <w:tcBorders/>
            <w:tcW w:w="3350" w:type="dxa"/>
            <w:vAlign w:val="center"/>
          </w:tcPr>
          <w:p>
            <w:pPr>
              <w:pBdr/>
              <w:spacing/>
              <w:ind/>
              <w:jc w:val="left"/>
              <w:rPr/>
            </w:pPr>
            <w:r>
              <w:rPr>
                <w:b w:val="0"/>
                <w:bCs w:val="0"/>
              </w:rPr>
              <w:t xml:space="preserve">Only the patient's own wallet can call giveConsent()/revokeConsent(); not even the admin can consent on their behalf.</w:t>
            </w:r>
            <w:r/>
          </w:p>
        </w:tc>
      </w:tr>
      <w:tr>
        <w:trPr/>
        <w:tc>
          <w:tcPr>
            <w:shd w:val="clear" w:color="auto" w:fill="f2f2f2"/>
            <w:tcBorders/>
            <w:tcW w:w="2600" w:type="dxa"/>
            <w:vAlign w:val="center"/>
          </w:tcPr>
          <w:p>
            <w:pPr>
              <w:pBdr/>
              <w:spacing/>
              <w:ind/>
              <w:jc w:val="left"/>
              <w:rPr/>
            </w:pPr>
            <w:r>
              <w:rPr>
                <w:b/>
                <w:bCs/>
              </w:rPr>
              <w:t xml:space="preserve">Audit trail</w:t>
            </w:r>
            <w:r/>
          </w:p>
        </w:tc>
        <w:tc>
          <w:tcPr>
            <w:shd w:val="clear" w:color="auto" w:fill="fce4d6"/>
            <w:tcBorders/>
            <w:tcW w:w="3400" w:type="dxa"/>
            <w:vAlign w:val="center"/>
          </w:tcPr>
          <w:p>
            <w:pPr>
              <w:pBdr/>
              <w:spacing/>
              <w:ind/>
              <w:jc w:val="left"/>
              <w:rPr/>
            </w:pPr>
            <w:r>
              <w:rPr>
                <w:b w:val="0"/>
                <w:bCs w:val="0"/>
              </w:rPr>
              <w:t xml:space="preserve">Stored as editable rows in a database; an admin with write access can alter or delete history without a trace.</w:t>
            </w:r>
            <w:r/>
          </w:p>
        </w:tc>
        <w:tc>
          <w:tcPr>
            <w:shd w:val="clear" w:color="auto" w:fill="e2efda"/>
            <w:tcBorders/>
            <w:tcW w:w="3350" w:type="dxa"/>
            <w:vAlign w:val="center"/>
          </w:tcPr>
          <w:p>
            <w:pPr>
              <w:pBdr/>
              <w:spacing/>
              <w:ind/>
              <w:jc w:val="left"/>
              <w:rPr/>
            </w:pPr>
            <w:r>
              <w:rPr>
                <w:b w:val="0"/>
                <w:bCs w:val="0"/>
              </w:rPr>
              <w:t xml:space="preserve">Every diagnosis, decision, consent change, and access event is an immutable on-chain transaction that can never be silently altered or deleted.</w:t>
            </w:r>
            <w:r/>
          </w:p>
        </w:tc>
      </w:tr>
      <w:tr>
        <w:trPr/>
        <w:tc>
          <w:tcPr>
            <w:shd w:val="clear" w:color="auto" w:fill="f2f2f2"/>
            <w:tcBorders/>
            <w:tcW w:w="2600" w:type="dxa"/>
            <w:vAlign w:val="center"/>
          </w:tcPr>
          <w:p>
            <w:pPr>
              <w:pBdr/>
              <w:spacing/>
              <w:ind/>
              <w:jc w:val="left"/>
              <w:rPr/>
            </w:pPr>
            <w:r>
              <w:rPr>
                <w:b/>
                <w:bCs/>
              </w:rPr>
              <w:t xml:space="preserve">Emergency access accountability</w:t>
            </w:r>
            <w:r/>
          </w:p>
        </w:tc>
        <w:tc>
          <w:tcPr>
            <w:shd w:val="clear" w:color="auto" w:fill="fce4d6"/>
            <w:tcBorders/>
            <w:tcW w:w="3400" w:type="dxa"/>
            <w:vAlign w:val="center"/>
          </w:tcPr>
          <w:p>
            <w:pPr>
              <w:pBdr/>
              <w:spacing/>
              <w:ind/>
              <w:jc w:val="left"/>
              <w:rPr/>
            </w:pPr>
            <w:r>
              <w:rPr>
                <w:b w:val="0"/>
                <w:bCs w:val="0"/>
              </w:rPr>
              <w:t xml:space="preserve">An admin can query any record directly; the query itself typically leaves no permanent, tamper-proof record of why it happened.</w:t>
            </w:r>
            <w:r/>
          </w:p>
        </w:tc>
        <w:tc>
          <w:tcPr>
            <w:shd w:val="clear" w:color="auto" w:fill="e2efda"/>
            <w:tcBorders/>
            <w:tcW w:w="3350" w:type="dxa"/>
            <w:vAlign w:val="center"/>
          </w:tcPr>
          <w:p>
            <w:pPr>
              <w:pBdr/>
              <w:spacing/>
              <w:ind/>
              <w:jc w:val="left"/>
              <w:rPr/>
            </w:pPr>
            <w:r>
              <w:rPr>
                <w:b w:val="0"/>
                <w:bCs w:val="0"/>
              </w:rPr>
              <w:t xml:space="preserve">emergencyAccess() bypasses consent when needed, but permanently logs the admin's address, reason, and timestamp on-chain (EmergencyAccessLog).</w:t>
            </w:r>
            <w:r/>
          </w:p>
        </w:tc>
      </w:tr>
      <w:tr>
        <w:trPr/>
        <w:tc>
          <w:tcPr>
            <w:shd w:val="clear" w:color="auto" w:fill="f2f2f2"/>
            <w:tcBorders/>
            <w:tcW w:w="2600" w:type="dxa"/>
            <w:vAlign w:val="center"/>
          </w:tcPr>
          <w:p>
            <w:pPr>
              <w:pBdr/>
              <w:spacing/>
              <w:ind/>
              <w:jc w:val="left"/>
              <w:rPr/>
            </w:pPr>
            <w:r>
              <w:rPr>
                <w:b/>
                <w:bCs/>
              </w:rPr>
              <w:t xml:space="preserve">Tamper evidence</w:t>
            </w:r>
            <w:r/>
          </w:p>
        </w:tc>
        <w:tc>
          <w:tcPr>
            <w:shd w:val="clear" w:color="auto" w:fill="fce4d6"/>
            <w:tcBorders/>
            <w:tcW w:w="3400" w:type="dxa"/>
            <w:vAlign w:val="center"/>
          </w:tcPr>
          <w:p>
            <w:pPr>
              <w:pBdr/>
              <w:spacing/>
              <w:ind/>
              <w:jc w:val="left"/>
              <w:rPr/>
            </w:pPr>
            <w:r>
              <w:rPr>
                <w:b w:val="0"/>
                <w:bCs w:val="0"/>
              </w:rPr>
              <w:t xml:space="preserve">An altered or swapped image file is not automatically detectable against the stored diagnosis.</w:t>
            </w:r>
            <w:r/>
          </w:p>
        </w:tc>
        <w:tc>
          <w:tcPr>
            <w:shd w:val="clear" w:color="auto" w:fill="e2efda"/>
            <w:tcBorders/>
            <w:tcW w:w="3350" w:type="dxa"/>
            <w:vAlign w:val="center"/>
          </w:tcPr>
          <w:p>
            <w:pPr>
              <w:pBdr/>
              <w:spacing/>
              <w:ind/>
              <w:jc w:val="left"/>
              <w:rPr/>
            </w:pPr>
            <w:r>
              <w:rPr>
                <w:b w:val="0"/>
                <w:bCs w:val="0"/>
              </w:rPr>
              <w:t xml:space="preserve">Only the SHA-256 hash of each image is stored on-chain; verifyDiagnosis() detects any mismatch between a presented image and the original.</w:t>
            </w:r>
            <w:r/>
          </w:p>
        </w:tc>
      </w:tr>
      <w:tr>
        <w:trPr/>
        <w:tc>
          <w:tcPr>
            <w:shd w:val="clear" w:color="auto" w:fill="f2f2f2"/>
            <w:tcBorders/>
            <w:tcW w:w="2600" w:type="dxa"/>
            <w:vAlign w:val="center"/>
          </w:tcPr>
          <w:p>
            <w:pPr>
              <w:pBdr/>
              <w:spacing/>
              <w:ind/>
              <w:jc w:val="left"/>
              <w:rPr/>
            </w:pPr>
            <w:r>
              <w:rPr>
                <w:b/>
                <w:bCs/>
              </w:rPr>
              <w:t xml:space="preserve">Model provenance</w:t>
            </w:r>
            <w:r/>
          </w:p>
        </w:tc>
        <w:tc>
          <w:tcPr>
            <w:shd w:val="clear" w:color="auto" w:fill="fce4d6"/>
            <w:tcBorders/>
            <w:tcW w:w="3400" w:type="dxa"/>
            <w:vAlign w:val="center"/>
          </w:tcPr>
          <w:p>
            <w:pPr>
              <w:pBdr/>
              <w:spacing/>
              <w:ind/>
              <w:jc w:val="left"/>
              <w:rPr/>
            </w:pPr>
            <w:r>
              <w:rPr>
                <w:b w:val="0"/>
                <w:bCs w:val="0"/>
              </w:rPr>
              <w:t xml:space="preserve">Typically not tracked; hard to prove which model version produced a given historical prediction.</w:t>
            </w:r>
            <w:r/>
          </w:p>
        </w:tc>
        <w:tc>
          <w:tcPr>
            <w:shd w:val="clear" w:color="auto" w:fill="e2efda"/>
            <w:tcBorders/>
            <w:tcW w:w="3350" w:type="dxa"/>
            <w:vAlign w:val="center"/>
          </w:tcPr>
          <w:p>
            <w:pPr>
              <w:pBdr/>
              <w:spacing/>
              <w:ind/>
              <w:jc w:val="left"/>
              <w:rPr/>
            </w:pPr>
            <w:r>
              <w:rPr>
                <w:b w:val="0"/>
                <w:bCs w:val="0"/>
              </w:rPr>
              <w:t xml:space="preserve">Each diagnosis is stamped with a hash of the exact model version that produced it (MODEL_VERSION_HASH), enabling full provenance.</w:t>
            </w:r>
            <w:r/>
          </w:p>
        </w:tc>
      </w:tr>
      <w:tr>
        <w:trPr/>
        <w:tc>
          <w:tcPr>
            <w:shd w:val="clear" w:color="auto" w:fill="f2f2f2"/>
            <w:tcBorders/>
            <w:tcW w:w="2600" w:type="dxa"/>
            <w:vAlign w:val="center"/>
          </w:tcPr>
          <w:p>
            <w:pPr>
              <w:pBdr/>
              <w:spacing/>
              <w:ind/>
              <w:jc w:val="left"/>
              <w:rPr/>
            </w:pPr>
            <w:r>
              <w:rPr>
                <w:b/>
                <w:bCs/>
              </w:rPr>
              <w:t xml:space="preserve">Cross-doctor / second opinion access</w:t>
            </w:r>
            <w:r/>
          </w:p>
        </w:tc>
        <w:tc>
          <w:tcPr>
            <w:shd w:val="clear" w:color="auto" w:fill="fce4d6"/>
            <w:tcBorders/>
            <w:tcW w:w="3400" w:type="dxa"/>
            <w:vAlign w:val="center"/>
          </w:tcPr>
          <w:p>
            <w:pPr>
              <w:pBdr/>
              <w:spacing/>
              <w:ind/>
              <w:jc w:val="left"/>
              <w:rPr/>
            </w:pPr>
            <w:r>
              <w:rPr>
                <w:b w:val="0"/>
                <w:bCs w:val="0"/>
              </w:rPr>
              <w:t xml:space="preserve">Usually requires a manual export/share process outside the system's access-control logic.</w:t>
            </w:r>
            <w:r/>
          </w:p>
        </w:tc>
        <w:tc>
          <w:tcPr>
            <w:shd w:val="clear" w:color="auto" w:fill="e2efda"/>
            <w:tcBorders/>
            <w:tcW w:w="3350" w:type="dxa"/>
            <w:vAlign w:val="center"/>
          </w:tcPr>
          <w:p>
            <w:pPr>
              <w:pBdr/>
              <w:spacing/>
              <w:ind/>
              <w:jc w:val="left"/>
              <w:rPr/>
            </w:pPr>
            <w:r>
              <w:rPr>
                <w:b w:val="0"/>
                <w:bCs w:val="0"/>
              </w:rPr>
              <w:t xml:space="preserve">requestSecondOpinion() grants a named doctor scoped, on-chain-enforced access to only that patient's record.</w:t>
            </w:r>
            <w:r/>
          </w:p>
        </w:tc>
      </w:tr>
    </w:tbl>
    <w:p>
      <w:pPr>
        <w:pStyle w:val="708"/>
        <w:pBdr/>
        <w:spacing w:after="160" w:before="360"/>
        <w:ind/>
        <w:rPr/>
      </w:pPr>
      <w:r>
        <w:t xml:space="preserve">5. Federated Learning: Architectural Compatibility</w:t>
      </w:r>
      <w:r/>
    </w:p>
    <w:p>
      <w:pPr>
        <w:pBdr/>
        <w:spacing w:after="160"/>
        <w:ind/>
        <w:jc w:val="both"/>
        <w:rPr/>
      </w:pPr>
      <w:r>
        <w:t xml:space="preserve">Federated Learning (FL) was not implemented as a training methodology here — the iterative learning pipeline described in Section 3.2 is a central</w:t>
      </w:r>
      <w:r>
        <w:t xml:space="preserve">ized fine-tuning process running on a single machine, not distributed training across multiple hospitals. However, it is worth noting explicitly that the underlying blockchain architecture is compatible with an FL setup should it be pursued in future work.</w:t>
      </w:r>
      <w:r/>
    </w:p>
    <w:p>
      <w:pPr>
        <w:pBdr/>
        <w:spacing w:after="160"/>
        <w:ind/>
        <w:jc w:val="both"/>
        <w:rPr/>
      </w:pPr>
      <w:r>
        <w:t xml:space="preserve">Permissioned blockchains are a commonly used coordination and audit layer in blockchain-assisted FL systems: the chain does not perform t</w:t>
      </w:r>
      <w:r>
        <w:t xml:space="preserve">he training itself, but is used to (a) manage which participants/nodes are permitted to contribute, (b) anchor a tamper-proof hash of each model version or round, and (c) provide an immutable record of which model version produced which prediction. This sy</w:t>
      </w:r>
      <w:r>
        <w:t xml:space="preserve">stem already implements exactly that pattern at a single-hospital scale — the MODEL_VERSION_HASH mechanism cryptographically ties every diagnosis to a specific model version. Extending this to a true multi-hospital FL setup would require each hospital trai</w:t>
      </w:r>
      <w:r>
        <w:t xml:space="preserve">ning locally on its own private data and submitting only model weight updates (never raw data) to an aggregator, with the blockchain used to verify and log each round's update hash — a natural extension of, rather than a departure from, the current design.</w:t>
      </w:r>
      <w:r/>
    </w:p>
    <w:p>
      <w:pPr>
        <w:pStyle w:val="708"/>
        <w:pBdr/>
        <w:spacing w:after="160" w:before="360"/>
        <w:ind/>
        <w:rPr/>
      </w:pPr>
      <w:r>
        <w:t xml:space="preserve">6. Limitations and Scope</w:t>
      </w:r>
      <w:r/>
    </w:p>
    <w:p>
      <w:pPr>
        <w:pBdr/>
        <w:spacing w:after="160"/>
        <w:ind/>
        <w:jc w:val="both"/>
        <w:rPr/>
      </w:pPr>
      <w:r>
        <w:t xml:space="preserve">The following limitations are stated explicitly so that the scope of what was validated is clear.</w:t>
      </w:r>
      <w:r/>
    </w:p>
    <w:p>
      <w:pPr>
        <w:pBdr/>
        <w:spacing w:after="120"/>
        <w:ind/>
        <w:rPr/>
      </w:pPr>
      <w:r>
        <w:rPr>
          <w:b/>
          <w:bCs/>
        </w:rPr>
        <w:t xml:space="preserve">Single-node network simulation: </w:t>
      </w:r>
      <w:r>
        <w:t xml:space="preserve">The private blockchain runs as a single local Hardhat node within the development environment. Multi-hospital participation is simulated using multiple doctor accounts on this one node/chain, not as independent nodes operated by separ</w:t>
      </w:r>
      <w:r>
        <w:t xml:space="preserve">ate organizations. A production deployment would require each hospital to operate its own node within a permissioned consortium network (e.g. Proof-of-Authority), with genuine network-level interoperability rather than contract-level role separation alone.</w:t>
      </w:r>
      <w:r/>
    </w:p>
    <w:p>
      <w:pPr>
        <w:pBdr/>
        <w:spacing w:after="120"/>
        <w:ind/>
        <w:rPr/>
      </w:pPr>
      <w:r>
        <w:rPr>
          <w:b/>
          <w:bCs/>
        </w:rPr>
        <w:t xml:space="preserve">No persistent/production deployment: </w:t>
      </w:r>
      <w:r>
        <w:t xml:space="preserve">Because the network runs inside an ephem</w:t>
      </w:r>
      <w:r>
        <w:t xml:space="preserve">eral development session, it does not persist between sessions the way a real deployed network would. This was a deliberate scope choice for a prototype — Hardhat is purpose-built for fast, resettable development and testing cycles, not production hosting.</w:t>
      </w:r>
      <w:r/>
    </w:p>
    <w:p>
      <w:pPr>
        <w:pBdr/>
        <w:spacing w:after="120"/>
        <w:ind/>
        <w:rPr/>
      </w:pPr>
      <w:r>
        <w:rPr>
          <w:b/>
          <w:bCs/>
        </w:rPr>
        <w:t xml:space="preserve">Test dataset, not live capture: </w:t>
      </w:r>
      <w:r>
        <w:t xml:space="preserve">Diagnoses are generated on pre-existing, previously labeled EyePACS test image</w:t>
      </w:r>
      <w:r>
        <w:t xml:space="preserve">s rather than images captured live from a fundus camera in a clinical setting. The AI-to-blockchain pipeline is fully functional end-to-end, but has not been validated against live image capture hardware, DICOM/PACS integration, or truly unseen field data.</w:t>
      </w:r>
      <w:r/>
    </w:p>
    <w:p>
      <w:pPr>
        <w:pBdr/>
        <w:spacing w:after="120"/>
        <w:ind/>
        <w:rPr/>
      </w:pPr>
      <w:r>
        <w:rPr>
          <w:b/>
          <w:bCs/>
        </w:rPr>
        <w:t xml:space="preserve">Simulated override cases for iterative learning: </w:t>
      </w:r>
      <w:r>
        <w:t xml:space="preserve">The demonstration pipeline that feeds the retraining process (run_simulation()) synthetically injects a controlled </w:t>
      </w:r>
      <w:r>
        <w:t xml:space="preserve">number of doctor-override cases (particularly in the 30–50% confidence band) to reach the retraining threshold quickly for demonstration purposes. In real use, override cases would accumulate organically as doctors genuinely disagree with the AI over time.</w:t>
      </w:r>
      <w:r/>
    </w:p>
    <w:p>
      <w:pPr>
        <w:pBdr/>
        <w:spacing w:after="120"/>
        <w:ind/>
        <w:rPr/>
      </w:pPr>
      <w:r>
        <w:rPr>
          <w:b/>
          <w:bCs/>
        </w:rPr>
        <w:t xml:space="preserve">Single-terminal role switching is a testing artifact, not a security model: </w:t>
      </w:r>
      <w:r>
        <w:t xml:space="preserve">During CLI testing, a single session is used to log in sequentially as Admin, then differen</w:t>
      </w:r>
      <w:r>
        <w:t xml:space="preserve">t Doctors, then Patients, to exercise every role. This is purely a convenience for testing on one machine. It does not reflect how the system would be used in production, where each stakeholder would run their own client application holding only their own </w:t>
      </w:r>
      <w:r>
        <w:t xml:space="preserve">private key, no user could sign a transaction as another party regardless of how many terminals are open, because the security boundary is enforced on-chain via msg.sender checks in the smart contract, independent of the testing setup used to exercise it.</w:t>
      </w:r>
      <w:r/>
    </w:p>
    <w:p>
      <w:pPr>
        <w:pStyle w:val="708"/>
        <w:pBdr/>
        <w:spacing w:after="160" w:before="360"/>
        <w:ind/>
        <w:rPr/>
      </w:pPr>
      <w:r>
        <w:t xml:space="preserve">7. Conclusion</w:t>
      </w:r>
      <w:r/>
    </w:p>
    <w:p>
      <w:pPr>
        <w:pBdr/>
        <w:spacing w:after="160"/>
        <w:ind/>
        <w:jc w:val="both"/>
        <w:rPr/>
      </w:pPr>
      <w:r>
        <w:t xml:space="preserve">This phase of the project delivers a working, tested blockchain layer that concretely changes the guarantees of the DR diagnosis wor</w:t>
      </w:r>
      <w:r>
        <w:t xml:space="preserve">kflow relative to the centralized system: patient-controlled consent that not even an administrator can override, a fully immutable audit trail, accountable and logged emergency access, and cryptographic tamper detection on diagnosis ima</w:t>
      </w:r>
      <w:r>
        <w:t xml:space="preserve">ges. These properties were verified through direct end-to-end contract testing covering both expected successes and expected failures. </w:t>
      </w: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2026-07-30T10:26:15Z</dcterms:created>
  <dcterms:modified xsi:type="dcterms:W3CDTF">2026-07-30T10:58:27Z</dcterms:modified>
</cp:coreProperties>
</file>