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u0tted3ffr0" w:id="0"/>
      <w:bookmarkEnd w:id="0"/>
      <w:r w:rsidDel="00000000" w:rsidR="00000000" w:rsidRPr="00000000">
        <w:rPr>
          <w:rtl w:val="0"/>
        </w:rPr>
        <w:t xml:space="preserve">Краткий итоговый отчёт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iwzlxynwj4fr" w:id="1"/>
      <w:bookmarkEnd w:id="1"/>
      <w:r w:rsidDel="00000000" w:rsidR="00000000" w:rsidRPr="00000000">
        <w:rPr>
          <w:rtl w:val="0"/>
        </w:rPr>
        <w:t xml:space="preserve">Снижение вычислительной и памятной стоимости decoder-only Transformer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jpm235pao3j6" w:id="2"/>
      <w:bookmarkEnd w:id="2"/>
      <w:r w:rsidDel="00000000" w:rsidR="00000000" w:rsidRPr="00000000">
        <w:rPr>
          <w:rtl w:val="0"/>
        </w:rPr>
        <w:t xml:space="preserve">Результаты эксперимента на Google Colab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zfbq5c92qkpa" w:id="3"/>
      <w:bookmarkEnd w:id="3"/>
      <w:r w:rsidDel="00000000" w:rsidR="00000000" w:rsidRPr="00000000">
        <w:rPr>
          <w:rtl w:val="0"/>
        </w:rPr>
        <w:t xml:space="preserve">Исследовательский вопрос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Можно ли уменьшить вычислительную и памятную стоимость Transformer, сохранив сопоставимое качество на языковой задаче? В качестве baseline используется небольшая GPT-подобная decoder-only модель. Экспериментальный метод — причинное локальное внимание sliding window.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kob36rs3ih1q" w:id="4"/>
      <w:bookmarkEnd w:id="4"/>
      <w:r w:rsidDel="00000000" w:rsidR="00000000" w:rsidRPr="00000000">
        <w:rPr>
          <w:rtl w:val="0"/>
        </w:rPr>
        <w:t xml:space="preserve">Реализованная система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Модель содержит 12 Transformer-блоков, d_model 512, 8 голов внимания и SwiGLU FFN размерности 1536. Использованы causal multi-head self-attention, RoPE, RMSNorm в схеме Pre-LN, residual connections и weight tying. Обучение выполняется AdamW с cosine learning-rate schedule и warmup. SentencePiece BPE имеет vocabulary 16 000, обучающий контекст — 512. Число параметров обеих моделей равно 49 099 264.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Google Colab реализованы подготовка WikiText-103 raw, обучение, валидация, сохранение checkpoints и автоматический расчёт метрик. Предусмотрены режимы smoke, quick и full.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41revobls7f2" w:id="5"/>
      <w:bookmarkEnd w:id="5"/>
      <w:r w:rsidDel="00000000" w:rsidR="00000000" w:rsidRPr="00000000">
        <w:rPr>
          <w:rtl w:val="0"/>
        </w:rPr>
        <w:t xml:space="preserve">Протокол эксперимента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Dense baseline и Local Attention обучались на одинаковых данных с одинаковой конфигурацией. Окно локального внимания W = 128. Полный запуск: 2 000 шагов, batch size 2, gradient accumulation 8, до 100 млн обучающих токенов, seed 42, GPU Tesla T4.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Измерены validation loss, perplexity, LAMBADA zero-shot, время и скорость обучения, latency, throughput, теоретические FLOPs, peak VRAM, память модели, KV-cache и масштабирование контекста от 128 до 2048 токенов.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51obc715wib9" w:id="6"/>
      <w:bookmarkEnd w:id="6"/>
      <w:r w:rsidDel="00000000" w:rsidR="00000000" w:rsidRPr="00000000">
        <w:rPr>
          <w:rtl w:val="0"/>
        </w:rPr>
        <w:t xml:space="preserve">Результаты качества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Dense: validation loss 4,7793; perplexity 119,02.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Local: validation loss 4,7676; perplexity 117,63.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Отношение perplexity Local/Dense равно 0,9883. Локальная модель прошла заранее установленный критерий сопоставимости: ухудшение perplexity не более 5%. В проведённом запуске её perplexity ниже на 1,17%.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На 1 000 примерах LAMBADA exact match равен 0 у обеих моделей. Accuracy целевых токенов составила 4,75% для Dense и 4,45% для Local. Поэтому основной вывод о качестве опирается на validation loss и perplexity.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zfool23hvjar" w:id="7"/>
      <w:bookmarkEnd w:id="7"/>
      <w:r w:rsidDel="00000000" w:rsidR="00000000" w:rsidRPr="00000000">
        <w:rPr>
          <w:rtl w:val="0"/>
        </w:rPr>
        <w:t xml:space="preserve">Результаты эффективности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Обучение Dense заняло 14,76 минуты при скорости 18 502 токена/с и peak VRAM 1,36 GiB. Local обучался 103,59 минуты при скорости 2 636 токенов/с и peak VRAM 4,39 GiB. Память параметров одинакова: 187,30 MiB в FP32 и 93,65 MiB в FP16.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При контексте 2048: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Dense — 304,14 GFLOPs, 28,94 мс, 0,176 GiB peak inference VRAM;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Local — 207,50 GFLOPs, 155,83 мс, 0,391 GiB peak inference VRAM.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Local уменьшил теоретические FLOPs на 31,8%, но текущая реализация оказалась медленнее и потребовала больше пиковой памяти.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При prompt 256 и генерации 64 токенов Dense показал 71,39 токена/с и KV-cache 6 291 456 байт; Local — 51,10 токена/с и 3 121 152 байта. Снижение KV-cache составило около 50,4%.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oxqa31lgtk8o" w:id="8"/>
      <w:bookmarkEnd w:id="8"/>
      <w:r w:rsidDel="00000000" w:rsidR="00000000" w:rsidRPr="00000000">
        <w:rPr>
          <w:rtl w:val="0"/>
        </w:rPr>
        <w:t xml:space="preserve">Ответ на исследовательский вопрос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Ответ частично положительный. Sliding-window attention с окном 128 сохранил сопоставимое качество, уменьшил теоретическое число операций на длинном контексте и примерно вдвое сократил KV-cache.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Практического ускорения текущая реализация не дала. Dense baseline использует оптимизированный PyTorch SDPA, а Local Attention реализован через unfold и einsum и создаёт дополнительные промежуточные тензоры. Для получения реального выигрыша по времени и VRAM нужен оптимизированный sparse kernel, например Triton или FlexAttention.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kgjhs2z6k18x" w:id="9"/>
      <w:bookmarkEnd w:id="9"/>
      <w:r w:rsidDel="00000000" w:rsidR="00000000" w:rsidRPr="00000000">
        <w:rPr>
          <w:rtl w:val="0"/>
        </w:rPr>
        <w:t xml:space="preserve">Ограничения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Основной эксперимент выполнен для одного seed и одной Tesla T4. Бюджет обучения недостаточен для содержательной LAMBADA exact-match оценки. Для усиления научного вывода желательно выполнить ещё два full-запуска с другими seed и представить среднее значение и разброс. Текущий результат уже подтверждает работоспособность baseline, воспроизводимость пайплайна и возможность проведения дальнейших экспериментов в Google Colab.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99bp7n3pjnl0" w:id="10"/>
      <w:bookmarkEnd w:id="10"/>
      <w:r w:rsidDel="00000000" w:rsidR="00000000" w:rsidRPr="00000000">
        <w:rPr>
          <w:rtl w:val="0"/>
        </w:rPr>
        <w:t xml:space="preserve">Состав пакета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transformer_efficiency_colab.ipynb — полный Colab;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Методика Transformer Efficiency.docx — подробное описание;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final_report_full_seed42.json — сводный отчёт;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quality_full.csv и lambada_full.csv — метрики качества;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scaling_full.csv и decode_full.csv — эффективность и KV-cache;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training_dense_full_seed42.csv и training_local_full_seed42.csv — журналы обучения;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scaling_full.png — график масштабирования.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Тяжёлые checkpoints и кэш данных остаются в соседних папках проекта, поэтому комплект отчётности остаётся компактным.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ux1ag86oj0m2" w:id="11"/>
      <w:bookmarkEnd w:id="11"/>
      <w:r w:rsidDel="00000000" w:rsidR="00000000" w:rsidRPr="00000000">
        <w:rPr>
          <w:rtl w:val="0"/>
        </w:rPr>
        <w:t xml:space="preserve">Ключевые источники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Vaswani et al. Attention Is All You Need. arXiv:1706.03762.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 et al. RoFormer. arXiv:2104.09864.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Zhang, Sennrich. Root Mean Square Layer Normalization. arXiv:1910.07467.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Shazeer. GLU Variants Improve Transformer. arXiv:2002.05202.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Beltagy, Peters, Cohan. Longformer. arXiv:2004.05150.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