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долговременного хранения объектов (object persistence) в «промышленных» масштабах на базе технологии 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 — 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Такой способ хранения нельзя назвать естественным, но в силу большой распространенности и эффективности современных реляционных СУБД, концепция ORM преобладает над другими способами хранения объектно-ориентированных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Практическая работа будет осуществляться с помощью фреймворка 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Проектирование объектной модели данных для работы с ORM происходит с большой оглядкой на реляционную структуру. Для описания нюансов  объектно-реляционного отображения мы будем использовать аннотации пакета 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такая унификация удобнее 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 (описывающей связь многие к одному). Такая ссылка (представленная членом класса) трансформируется во внешний ключ.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(@ManyToOne 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&lt;project xmlns="http://maven.apache.org/POM/4.0.0"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xsi:schemaLocation="http://maven.apache.org/POM/4.0.0 http://maven.apache.org/xsd/maven-4.0.0.xsd"&gt;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&lt;modelVersion&gt;4.0.0&lt;/modelVersion&gt;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&lt;groupId&gt;ru.icmit.oodb.lab9&lt;/groupId&gt;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&lt;artifactId&gt;lab9&lt;/artifactId&gt;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&lt;version&gt;1.0-SNAPSHOT&lt;/version&gt;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&lt;groupId&gt;org.postgresql&lt;/groupId&gt;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&lt;artifactId&gt;postgresql&lt;/artifactId&gt;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&lt;version&gt;42.2.6.jre7&lt;/version&gt;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&lt;groupId&gt;org.hibernate&lt;/groupId&gt;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&lt;artifactId&gt;hibernate-entitymanager&lt;/artifactId&gt;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&lt;version&gt;5.4.3.Final&lt;/version&gt;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&lt;groupId&gt;org.apache.maven.plugins&lt;/groupId&gt;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&lt;artifactId&gt;maven-compiler-plugin&lt;/artifactId&gt;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&lt;source&gt;1.8&lt;/source&gt;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&lt;target&gt;1.8&lt;/target&gt;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 параметров JPA (таких как имя базы данных, пользователь,  JDBC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&lt;persistence xmlns="http://xmlns.jcp.org/xml/ns/persistence" 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xsi:schemaLocation="http://xmlns.jcp.org/xml/ns/persistence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http://xmlns.jcp.org/xml/ns/persistence/persistence_2_2.xsd" version="2.2"&gt;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&lt;provider&gt;org.hibernate.jpa.HibernatePersistenceProvider&lt;/provider&gt;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name="javax.persistence.jdbc.driver" </w:t>
        <w:tab/>
        <w:tab/>
        <w:tab/>
        <w:tab/>
        <w:t>value="org.postgresql.Driver"/&gt;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name="javax.persistence.jdbc.url" </w:t>
        <w:tab/>
        <w:t>value="jdbc:postgresql://127.0.0.1:5432/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name="javax.persistence.jdbc.user"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name="javax.persistence.jdbc.password"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name="hibernate.show_sql" value="true"/&gt;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"/&gt; &lt;!-- none, </w:t>
        <w:tab/>
        <w:t>create  --&gt;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import javax.persistence.Persistence;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public class CreateDBTest {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public static void main(String[] args) {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")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Автоматическая генерация значений первичного ключа в JPA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Напомню, в многопользовательской среде при использовании фиктивных первичных ключей (т. е. не естественных в отличии от таких как номер паспорта, ИНН, СНИЛС …) возникает проблема уникальности при генерации значений. Такие проблемы обычно разрешаются на стороне СУБД.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Наша цель — изучить связь между определениями объектов и механизмами СУБД генерации значений первичного ключа. Рассматриваем связку с СУБД PostgreSQL. В примерах структура БД будет создаваться автоматически по описанию объектной модели.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Член класса-сущности, выступающий в роли первичного ключа отмечается аннотацией @Id.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В «ручном режиме» генерации (назначаем id программно) никаких дополнительных средств определения не требуется.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При делегировании генерации значений первичного ключа в СУБД используем аннотацию </w:t>
      </w:r>
      <w:r>
        <w:rPr>
          <w:rFonts w:ascii="Courier New" w:hAnsi="Courier New"/>
          <w:b w:val="false"/>
          <w:bCs w:val="false"/>
          <w:sz w:val="24"/>
          <w:szCs w:val="24"/>
        </w:rPr>
        <w:t>@GenratedValue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Поведение определяется атрибутом </w:t>
      </w:r>
      <w:r>
        <w:rPr>
          <w:rFonts w:ascii="Courier New" w:hAnsi="Courier New"/>
          <w:b w:val="false"/>
          <w:bCs w:val="false"/>
          <w:sz w:val="24"/>
          <w:szCs w:val="24"/>
        </w:rPr>
        <w:t>strategy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(со значением из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enum GenerationType </w:t>
      </w:r>
      <w:r>
        <w:rPr>
          <w:rFonts w:ascii="Courier New" w:hAnsi="Courier New"/>
          <w:color w:val="000000"/>
          <w:sz w:val="24"/>
          <w:szCs w:val="24"/>
        </w:rPr>
        <w:t xml:space="preserve">{ AUTO, SEQUENCE, IDENTITY, TABLE })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AUTO —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значение по умолчанию.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AUTO: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private Long id;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 этом в БД описание поля id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генерации значений будет использоваться последовательность с именем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hibernate_sequence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Причем эта последовательность будет использована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для всех таблиц и первичных ключей</w:t>
      </w:r>
      <w:r>
        <w:rPr>
          <w:rFonts w:ascii="Times New Roman" w:hAnsi="Times New Roman"/>
          <w:b w:val="false"/>
          <w:bCs w:val="false"/>
          <w:sz w:val="24"/>
          <w:szCs w:val="24"/>
        </w:rPr>
        <w:t>, определенных таким образом.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SEQUENCE: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Дополнительно необходимо определить генератор 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@SequenceGenerator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@Id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@SequenceGenerator(name=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"tblgen", sequenceName="tbl_seq", allocationSize=1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GenerationTypeю.SEQUENCE, generator="tblgen")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private Long id;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БД описание поля id</w:t>
      </w:r>
    </w:p>
    <w:p>
      <w:pPr>
        <w:pStyle w:val="Normal"/>
        <w:ind w:left="0" w:hanging="0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генерации значений будет использоваться последовательность с именем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tbl_seq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>
          <w:rFonts w:ascii="Courier New" w:hAnsi="Courier New"/>
          <w:b/>
          <w:bCs/>
          <w:color w:val="000000"/>
          <w:sz w:val="24"/>
          <w:szCs w:val="24"/>
        </w:rPr>
        <w:t>IDENTITY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/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GenerationTypeю.IDENTITY)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private Long id;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Для такого определения будет сформирована последовательность по правилу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имятаблицы_id_seq.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 последовательность будет использована для задания уникального значения первичного ключа. В БД определение таблицы примет вид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id bigint NOT NULL PRIMARY KEY DEFAULT nextval('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имятаблицы_id_seq'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Пример: в таблице person первичный ключ id генерируется последовательностью person_seq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Тогда объект Person дополним следующим образом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@GeneratedValue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strategy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=GenerationType.SEQUENCE, </w:t>
      </w:r>
      <w:r>
        <w:rPr>
          <w:rFonts w:ascii="Courier New" w:hAnsi="Courier New"/>
          <w:b/>
          <w:bCs/>
          <w:sz w:val="20"/>
          <w:szCs w:val="20"/>
        </w:rPr>
        <w:t>generator</w:t>
      </w:r>
      <w:r>
        <w:rPr>
          <w:rFonts w:ascii="Courier New" w:hAnsi="Courier New"/>
          <w:b w:val="false"/>
          <w:bCs w:val="false"/>
          <w:sz w:val="20"/>
          <w:szCs w:val="20"/>
        </w:rPr>
        <w:t>="personIdGenerator")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@SequenceGenerator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="personIdGenerator", </w:t>
      </w:r>
      <w:r>
        <w:rPr>
          <w:rFonts w:ascii="Courier New" w:hAnsi="Courier New"/>
          <w:b/>
          <w:bCs/>
          <w:sz w:val="20"/>
          <w:szCs w:val="20"/>
        </w:rPr>
        <w:t>sequenceName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="person_seq", </w:t>
      </w:r>
      <w:r>
        <w:rPr>
          <w:rFonts w:ascii="Courier New" w:hAnsi="Courier New"/>
          <w:b/>
          <w:bCs/>
          <w:sz w:val="20"/>
          <w:szCs w:val="20"/>
        </w:rPr>
        <w:t>allocationSize</w:t>
      </w:r>
      <w:r>
        <w:rPr>
          <w:rFonts w:ascii="Courier New" w:hAnsi="Courier New"/>
          <w:b w:val="false"/>
          <w:bCs w:val="false"/>
          <w:sz w:val="20"/>
          <w:szCs w:val="20"/>
        </w:rPr>
        <w:t>=1)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private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Long id;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13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>: стратегии отображения в реляционной СУБД наследуемых классов.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Понятие наследования входит в базовые принципы объектно-ориентированного программирования. Естественным будет активно использовать этот принцип. Но при отображении сложного объекта, включенного в иерархию наследования, возникает ряд вопросов с его представлением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наследовании информация оказывается распределенной по нескольким объектам.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строить таблицы в таком случае?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Как восстанавливать потом иерархию классов из таблиц при запросах?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Спецификация JPA предлагает несколько стратегий для разрешения этих вопросов. Специальным образом размечая классы (мы будем делать это с помощью аннотаций), мы даем указание на определенное поведение системы ORM.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разные стратегии на примере двух классов Person и Client: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extends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11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@MappedSuperClass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@MappedSuperClass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@MappedSuperclass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определенная иерархия наследования будет отображаться на таблицу</w:t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client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Мы видим, что все атрибуты объединены в одну таблицу client.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@Inheritance(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strategy = </w:t>
      </w:r>
      <w:r>
        <w:rPr>
          <w:rFonts w:ascii="Times New Roman" w:hAnsi="Times New Roman"/>
          <w:b w:val="false"/>
          <w:bCs w:val="false"/>
          <w:i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 xml:space="preserve">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@Inheritance(strategy = </w:t>
      </w:r>
      <w:r>
        <w:rPr>
          <w:rFonts w:ascii="Courier New" w:hAnsi="Courier New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JOINED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)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Классы отображаются на таблицы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person_pkey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PRIMARY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2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CREATE TABLE client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 xml:space="preserve">CONSTRAINT person_fk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FOREIGN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REFERENCES person (id) ...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Сохраняя класс Client, мы получаем одновременно записи в две таблицы с одинаковым значением первичного ключа: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client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3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erson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1600" cy="838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Замечание: </w:t>
      </w:r>
      <w:r>
        <w:rPr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такая стратегия формирует связь типа «один к одному».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стратегия предполагает отображение на одну таблицу с именем корневого класса предка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 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SINGLE_TABLE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Отображаемая таблица строится по имени корневого класса предка (Person в нашем случае)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person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(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dtype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varying(31)NOT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Появляется дополнительное поле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dtype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CE181E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character varying(31) — хранит информацию об имени класса потомке (ПОМНИТЕ ПРО ОГРАНИЧЕНИЕ В 31 СИМВОЛ, ИМЕНУЯ КЛАССЫ!)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Отдельная независимая таблица на класс, при этом класс-потомок отображается на таблицу, включающую поля с нижележащих иерархий.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случае для  каждого класса необходимо наличие поля с аннотацией   @Id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TABLE_PER_CLASS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Normal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sz w:val="18"/>
          <w:szCs w:val="18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18"/>
          <w:szCs w:val="18"/>
          <w:u w:val="none"/>
          <w:em w:val="none"/>
        </w:rPr>
        <w:t xml:space="preserve"> 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8471F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CREATE TABLE public.client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client_pkey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Выбор стратегии определяется логикой работы приложения и инструментарием, который обеспечивает эту логику.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Эту тему имеет смысл рассматривать с разных сторон проектирования: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прямого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(объектная модель → реляционная модель) и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обратного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(реляционная модель → объектная модель). Даже при прямом проектировании, соображения оптимизации хранения и обработки данных приводят  к необходимости рассмотрения частного фрагмента модели с точки зрения обратного проектирования.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поведение «по умолчанию».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наличии в объекте атрибутов, являющимися в свою очередь сущностными объектами, мы имеем модель связанных сущностей,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или «зеркальный» пример: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List&lt;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Традиционно связи между сущностями описываются в терминах «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одному», «Один ко многим», «Многие к одному», «Многие ко многим».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 Если идти от объекта сущности к атрибуту сущности (client → bank), то в первом случае мы имеем множество клиентов одного выделенного банка. Это пример связи «Многие к одному».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этом случае для организации корректного отображения объекта на таблицы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происходит отображение объектного атрибута на поле таблицы? Спецификация описывает правило по умолчанию: имяАтрибута_имяПервичногоКлючаСвязаннойТаблицы,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обычно получается что-то типа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bank_id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@Column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(name 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"pk_bank"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public.bank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pk_bank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bank_pk_bank</w:t>
            </w:r>
            <w:r>
              <w:rPr>
                <w:rFonts w:ascii="Courier New" w:hAnsi="Courier New"/>
              </w:rPr>
              <w:t xml:space="preserve">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Если хотим задать имя поля в таблице принудительно, то используем дополнительную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@JoinColumn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(name=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"bank_fk"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bank_fk</w:t>
            </w:r>
            <w:r>
              <w:rPr>
                <w:rFonts w:ascii="Courier New" w:hAnsi="Courier New"/>
              </w:rPr>
              <w:t xml:space="preserve"> bigint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 одному»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часто возникает при нормализации реляционной базы данных. В объектных моделях она чаще приходит из наследования (этот случай мы разбирали), но встречается и как атрибутивная (на уровне однонаправленных или обоюдонаправленных ссылок посредством членов классов), например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public.client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...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personinfo_id bigint, 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public.personinfo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id bigint NOT NULL,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email character varying(255) 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phone character varying(255) ,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видно из примера тип связи «Один к одному» задается аннотацией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и в типе связи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«Многие к одному» для именования поля в таблице, отличным от значения по умолчанию способом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3.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70"/>
        <w:gridCol w:w="5215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70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5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bCs/>
                <w:i w:val="false"/>
                <w:color w:val="9E880D"/>
                <w:sz w:val="20"/>
              </w:rPr>
              <w:t>@OneToMany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Collection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accounts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570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5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70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5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158466"/>
              </w:rPr>
              <w:t>client</w:t>
            </w: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  <w:b/>
                <w:bCs/>
                <w:color w:val="2A6099"/>
              </w:rPr>
              <w:t>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accounts</w:t>
            </w:r>
            <w:r>
              <w:rPr>
                <w:rFonts w:ascii="Courier New" w:hAnsi="Courier New"/>
              </w:rPr>
              <w:t>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uk_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UNIQUE accounts_id),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(accounts_id)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4.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eastAsia="Songti SC" w:cs="Arial Unicode MS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Многие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@ManyToMany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Отличия между аннотациями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@OneToMany и @ManyToMany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проявляются на уровне ограничений реляционной БД (в первом случае добавляется ограничение уникальности, во втором — его нет).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70"/>
        <w:gridCol w:w="5215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Address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70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5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Address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addresses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70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5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70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5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2A6099"/>
              </w:rPr>
              <w:t>client_address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addresses_id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(addresses_id)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Дополнительные опции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@JoinTable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"client_bankaccount"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ab/>
      </w:r>
      <w:hyperlink r:id="rId8"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080808"/>
            <w:spacing w:val="0"/>
            <w:sz w:val="20"/>
            <w:szCs w:val="24"/>
          </w:rPr>
          <w:t>joinColumns=</w:t>
        </w:r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9E880D"/>
            <w:spacing w:val="0"/>
            <w:sz w:val="20"/>
            <w:szCs w:val="24"/>
          </w:rPr>
          <w:t>@JoinColumn</w:t>
        </w:r>
      </w:hyperlink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"ba_id"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),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ab/>
        <w:t>inverseJoinColumns=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@JoinColumn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"accounts_id"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 xml:space="preserve">     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>//,nullable=false,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    //unique=true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Манипулирование данными в связанных сущностях. Каскадные операции.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 манипулировании с данными в связанных сущностях можно использовать два подхода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Сохранять (изменять, удалять) связанные объекты последовательно, начиная снизу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24384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6" w:name="__DdeLink__2918_980193656"/>
      <w:bookmarkStart w:id="7" w:name="__DdeLink__2918_980193656"/>
      <w:bookmarkEnd w:id="7"/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8" w:name="__DdeLink__2918_980193656"/>
      <w:bookmarkStart w:id="9" w:name="__DdeLink__2918_980193656"/>
      <w:bookmarkEnd w:id="9"/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bookmarkStart w:id="10" w:name="__DdeLink__2930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.persist(personInfo);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End w:id="10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используя каскадные операции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31"/>
        <w:gridCol w:w="910"/>
        <w:gridCol w:w="3797"/>
      </w:tblGrid>
      <w:tr>
        <w:trPr/>
        <w:tc>
          <w:tcPr>
            <w:tcW w:w="4931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cascade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CascadeType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ALL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910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3797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Здесь достаточно сохранить клиента, связанные объекты будут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сохранены автоматически рекурсивно</w:t>
      </w:r>
    </w:p>
    <w:p>
      <w:pPr>
        <w:pStyle w:val="Normal"/>
        <w:spacing w:before="0" w:after="0"/>
        <w:ind w:left="0" w:right="0" w:hanging="0"/>
        <w:jc w:val="left"/>
        <w:rPr>
          <w:rFonts w:ascii="JetBrains Mono" w:hAnsi="JetBrains Mono"/>
          <w:color w:val="080808"/>
          <w:sz w:val="2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Аннотации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@OneToOne, </w:t>
      </w:r>
      <w:bookmarkStart w:id="11" w:name="__DdeLink__2989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</w:t>
      </w:r>
      <w:bookmarkEnd w:id="11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, </w:t>
      </w:r>
      <w:bookmarkStart w:id="12" w:name="__DdeLink__2987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@OneToMany</w:t>
      </w:r>
      <w:bookmarkEnd w:id="12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, @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To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имеют атрибут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cascade,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4"/>
          <w:szCs w:val="24"/>
        </w:rPr>
        <w:t xml:space="preserve">который может принимать одно или несколько значений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PERSIST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REFRESH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ALL</w:t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Например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@ManyToOne(cascade={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PERSIST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MERGE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})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Использование этих значений определяет каскадное поведение на различных операциях: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 xml:space="preserve">PERSIST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сохранение связанных объектов.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обновление.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REFRESH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присоединение сущности к менеджеру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удаление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от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соединение объектов от менеджера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ALL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все перечисленные выше операции выполняются каскадно.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https://github.com/ksenikeev/oodb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— примеры программ к лабораторным работам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>
    <w:name w:val="Обычный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Обычный_2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">
    <w:name w:val="Обычный_2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1">
    <w:name w:val="Обычный_2_1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mailto:joinColumns%3D@JoinColumn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github.com/ksenikeev/oodb" TargetMode="External"/><Relationship Id="rId11" Type="http://schemas.openxmlformats.org/officeDocument/2006/relationships/hyperlink" Target="https://docs.jboss.org/hibernate/orm/5.4/userguide/html_single/Hibernate_User_Guide.html" TargetMode="External"/><Relationship Id="rId12" Type="http://schemas.openxmlformats.org/officeDocument/2006/relationships/hyperlink" Target="https://codernet.ru/books/java/java_persistence_api_i_hibernate/" TargetMode="External"/><Relationship Id="rId13" Type="http://schemas.openxmlformats.org/officeDocument/2006/relationships/hyperlink" Target="https://download.oracle.com/otndocs/jcp/persistence-2_2-mrel-eval-spec/index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6407</TotalTime>
  <Application>LibreOffice/6.4.6.2$Linux_X86_64 LibreOffice_project/40$Build-2</Application>
  <Pages>27</Pages>
  <Words>3985</Words>
  <Characters>31581</Characters>
  <CharactersWithSpaces>36901</CharactersWithSpaces>
  <Paragraphs>892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2021-03-26T10:45:52Z</dcterms:modified>
  <cp:revision>143</cp:revision>
  <dc:subject/>
  <dc:title/>
</cp:coreProperties>
</file>