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1"/>
        <w:gridCol w:w="521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(или моделируется) при наличии в классе атрибута типа «множество» (Collection, Set, List, Map, …). Дальнейшее поведение определяется аннотацией 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@ManyToMany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проявляются на уровне ограничений реляционной БД (в первом случае добавляется ограничение уникальности, во втором — его нет).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1"/>
        <w:gridCol w:w="521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5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1. Связь типа «Многие к одному» с использованием ссылок на базе интерфейса Map.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66"/>
        <w:gridCol w:w="458"/>
        <w:gridCol w:w="5214"/>
      </w:tblGrid>
      <w:tr>
        <w:trPr/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BankAccount</w:t>
            </w:r>
          </w:p>
          <w:p>
            <w:pPr>
              <w:pStyle w:val="Normal"/>
              <w:shd w:fill="FFFFFF"/>
              <w:rPr>
                <w:rFonts w:ascii="JetBrains Mono" w:hAnsi="JetBrains Mono"/>
                <w:b/>
                <w:b/>
                <w:bCs/>
                <w:i w:val="false"/>
                <w:i w:val="false"/>
                <w:color w:val="2A6099"/>
                <w:sz w:val="20"/>
              </w:rPr>
            </w:pPr>
            <w:r>
              <w:rPr/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One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Map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accounts_id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C9211E"/>
              </w:rPr>
              <w:t>accounts_key</w:t>
            </w:r>
            <w:r>
              <w:rPr>
                <w:rFonts w:ascii="Courier New" w:hAnsi="Courier New"/>
              </w:rPr>
              <w:t xml:space="preserve"> character varying(255),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cb_pkey PRIMARY KEY (</w:t>
            </w:r>
            <w:r>
              <w:rPr>
                <w:rFonts w:ascii="Courier New" w:hAnsi="Courier New"/>
                <w:b/>
                <w:bCs/>
              </w:rPr>
              <w:t>client_id, accounts_key</w:t>
            </w:r>
            <w:r>
              <w:rPr>
                <w:rFonts w:ascii="Courier New" w:hAnsi="Courier New"/>
              </w:rPr>
              <w:t>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CONSTRAINT </w:t>
            </w:r>
            <w:r>
              <w:rPr>
                <w:rFonts w:ascii="Courier New" w:hAnsi="Courier New"/>
              </w:rPr>
              <w:t>u</w:t>
            </w:r>
            <w:r>
              <w:rPr>
                <w:rFonts w:ascii="Courier New" w:hAnsi="Courier New"/>
              </w:rPr>
              <w:t>k2 UNIQUE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Позволяет задать в таблице связей еще один атрибут. Здесь таблица связей получает составной первичный ключ, необходимый для контроля уникальности ключа в карте Map.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типа «Многие ко 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» с использованием ссылок на базе интерфейса Map.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66"/>
        <w:gridCol w:w="458"/>
        <w:gridCol w:w="5214"/>
      </w:tblGrid>
      <w:tr>
        <w:trPr/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BankAccount</w:t>
            </w:r>
          </w:p>
          <w:p>
            <w:pPr>
              <w:pStyle w:val="Normal"/>
              <w:shd w:fill="FFFFFF"/>
              <w:rPr>
                <w:rFonts w:ascii="JetBrains Mono" w:hAnsi="JetBrains Mono"/>
                <w:b/>
                <w:b/>
                <w:bCs/>
                <w:i w:val="false"/>
                <w:i w:val="false"/>
                <w:color w:val="2A6099"/>
                <w:sz w:val="20"/>
              </w:rPr>
            </w:pPr>
            <w:r>
              <w:rPr/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bCs/>
                <w:i w:val="false"/>
                <w:color w:val="000000"/>
                <w:sz w:val="20"/>
              </w:rPr>
              <w:t>Map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String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966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458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521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accounts_id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C9211E"/>
              </w:rPr>
              <w:t>accounts_key</w:t>
            </w:r>
            <w:r>
              <w:rPr>
                <w:rFonts w:ascii="Courier New" w:hAnsi="Courier New"/>
              </w:rPr>
              <w:t xml:space="preserve"> character varying(255),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cb_pkey PRIMARY KEY (</w:t>
            </w:r>
            <w:r>
              <w:rPr>
                <w:rFonts w:ascii="Courier New" w:hAnsi="Courier New"/>
                <w:b/>
                <w:bCs/>
              </w:rPr>
              <w:t>client_id, accounts_key</w:t>
            </w:r>
            <w:r>
              <w:rPr>
                <w:rFonts w:ascii="Courier New" w:hAnsi="Courier New"/>
              </w:rPr>
              <w:t>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CONSTRAINT </w:t>
            </w:r>
            <w:r>
              <w:rPr>
                <w:rFonts w:ascii="Courier New" w:hAnsi="Courier New"/>
              </w:rPr>
              <w:t>f</w:t>
            </w:r>
            <w:r>
              <w:rPr>
                <w:rFonts w:ascii="Courier New" w:hAnsi="Courier New"/>
              </w:rPr>
              <w:t>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 Двунаправленная связь «Один к одному». В этом случае связанные классы ссылаются друг на друга посредством своих членов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/>
                <w:bCs/>
                <w:i w:val="false"/>
                <w:color w:val="C9211E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Liberation Serif" w:cs="Liberation Serif" w:ascii="Courier New" w:hAnsi="Courier New"/>
                <w:b/>
                <w:bCs/>
                <w:sz w:val="48"/>
                <w:szCs w:val="48"/>
              </w:rPr>
              <w:t>↔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4594" w:type="dxa"/>
            <w:tcBorders/>
          </w:tcPr>
          <w:p>
            <w:pPr>
              <w:pStyle w:val="Normal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(mappedBy=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/>
                <w:bCs/>
                <w:i w:val="false"/>
                <w:color w:val="C9211E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Выписка из спецификации: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Обратная сторона двунаправленного отношения должна ссылаться на свою собственную сторону с помощью </w:t>
      </w:r>
      <w:r>
        <w:rPr>
          <w:rFonts w:eastAsia="Songti SC" w:cs="Arial Unicode MS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атрибута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 mappedBy аннотации OneToOne, OneToMany или ManyToMany. </w:t>
      </w:r>
      <w:r>
        <w:rPr>
          <w:rFonts w:eastAsia="Songti SC" w:cs="Arial Unicode MS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Атрибут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 mappedBy обозначает свойство или поле в сущности, являющейся владельцем отношения.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таком подходе проще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организация работы с логикой функционирования приложения. Отрицательные стороны этого подхода: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1) Дополнительный SQL запрос;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2) Проблемы с сериализацией из-за циклических ссылок.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hyperlink" Target="https://github.com/ksenikeev/oodb" TargetMode="External"/><Relationship Id="rId10" Type="http://schemas.openxmlformats.org/officeDocument/2006/relationships/hyperlink" Target="https://docs.jboss.org/hibernate/orm/5.4/userguide/html_single/Hibernate_User_Guide.html" TargetMode="External"/><Relationship Id="rId11" Type="http://schemas.openxmlformats.org/officeDocument/2006/relationships/hyperlink" Target="https://codernet.ru/books/java/java_persistence_api_i_hibernate/" TargetMode="External"/><Relationship Id="rId12" Type="http://schemas.openxmlformats.org/officeDocument/2006/relationships/hyperlink" Target="https://download.oracle.com/otndocs/jcp/persistence-2_2-mrel-eval-spec/index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6354</TotalTime>
  <Application>LibreOffice/6.4.6.2$Linux_X86_64 LibreOffice_project/40$Build-2</Application>
  <Pages>27</Pages>
  <Words>4101</Words>
  <Characters>31687</Characters>
  <CharactersWithSpaces>37136</CharactersWithSpaces>
  <Paragraphs>919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2021-03-16T11:48:48Z</dcterms:modified>
  <cp:revision>135</cp:revision>
  <dc:subject/>
  <dc:title/>
</cp:coreProperties>
</file>