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9"/>
        <w:gridCol w:w="5216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9"/>
        <w:gridCol w:w="5216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реализации связи Один-ко-многим посредством карты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Item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int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@ElementCollection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@MapKeyColumn(name="IMAGE_NAME")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@Column(name="IMAGE_FILENAME")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@CollectionTable(name="IMAGE_MAPPING")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Map&lt;String, String&gt; images; // map from image name to filename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 манипулировании с данными в связанных сущностях можно использовать два подхода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Сохранять (изменять, удалять) связанные объекты последовательно, начиная снизу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4384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6" w:name="__DdeLink__2918_980193656"/>
      <w:bookmarkStart w:id="7" w:name="__DdeLink__2918_980193656"/>
      <w:bookmarkEnd w:id="7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8" w:name="__DdeLink__2918_9801936561"/>
      <w:bookmarkStart w:id="9" w:name="__DdeLink__2918_9801936561"/>
      <w:bookmarkEnd w:id="9"/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bookmarkStart w:id="10" w:name="__DdeLink__2930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.persist(personInfo);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End w:id="10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используя каскадные операции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30"/>
        <w:gridCol w:w="911"/>
        <w:gridCol w:w="3797"/>
      </w:tblGrid>
      <w:tr>
        <w:trPr/>
        <w:tc>
          <w:tcPr>
            <w:tcW w:w="4930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@OneToOne(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cascade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CascadeType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91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3797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Здесь достаточно сохранить клиента, связанные объекты будут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сохранены автоматически рекурсивно</w:t>
      </w:r>
    </w:p>
    <w:p>
      <w:pPr>
        <w:pStyle w:val="Normal"/>
        <w:spacing w:before="0" w:after="0"/>
        <w:ind w:left="0" w:right="0" w:hanging="0"/>
        <w:jc w:val="left"/>
        <w:rPr>
          <w:rFonts w:ascii="JetBrains Mono" w:hAnsi="JetBrains Mono"/>
          <w:color w:val="080808"/>
          <w:sz w:val="20"/>
        </w:rPr>
      </w:pPr>
      <w:r>
        <w:rPr>
          <w:rFonts w:ascii="JetBrains Mono" w:hAnsi="JetBrains Mono"/>
          <w:color w:val="080808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Аннотации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@OneToOne, </w:t>
      </w:r>
      <w:bookmarkStart w:id="11" w:name="__DdeLink__2989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</w:t>
      </w:r>
      <w:bookmarkEnd w:id="11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, </w:t>
      </w:r>
      <w:bookmarkStart w:id="12" w:name="__DdeLink__2987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@OneToMany</w:t>
      </w:r>
      <w:bookmarkEnd w:id="12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, @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To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имеют атрибут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cascade,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4"/>
          <w:szCs w:val="24"/>
        </w:rPr>
        <w:t xml:space="preserve">который может принимать одно или несколько значений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PERSIST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REFRESH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ALL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Например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@ManyToOne(cascade={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PERSIST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MERGE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})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Использование этих значений определяет каскадное поведение на различных операциях: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 xml:space="preserve">PERSIST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сохранение связанных объектов.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обновление.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REFRESH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присоединение сущности к менеджеру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удаление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от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соединение объектов от менеджера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ALL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все перечисленные выше операции выполняются каскадно.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6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6772</TotalTime>
  <Application>LibreOffice/6.4.6.2$Linux_X86_64 LibreOffice_project/40$Build-2</Application>
  <Pages>27</Pages>
  <Words>4023</Words>
  <Characters>31897</Characters>
  <CharactersWithSpaces>37242</CharactersWithSpaces>
  <Paragraphs>906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2021-03-30T12:36:38Z</dcterms:modified>
  <cp:revision>147</cp:revision>
  <dc:subject/>
  <dc:title/>
</cp:coreProperties>
</file>