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r9drm7pojw06"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8d8o2awk6s7b"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kuu65x6r5mvi" w:id="2"/>
      <w:bookmarkEnd w:id="2"/>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544fljmejpuj" w:id="3"/>
      <w:bookmarkEnd w:id="3"/>
      <w:r w:rsidDel="00000000" w:rsidR="00000000" w:rsidRPr="00000000">
        <w:rPr>
          <w:rFonts w:ascii="Times New Roman" w:cs="Times New Roman" w:eastAsia="Times New Roman" w:hAnsi="Times New Roman"/>
          <w:b w:val="1"/>
          <w:sz w:val="46"/>
          <w:szCs w:val="46"/>
          <w:rtl w:val="0"/>
        </w:rPr>
        <w:t xml:space="preserve">Software Design Document (SDD)</w:t>
      </w:r>
    </w:p>
    <w:p w:rsidR="00000000" w:rsidDel="00000000" w:rsidP="00000000" w:rsidRDefault="00000000" w:rsidRPr="00000000" w14:paraId="00000005">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osa0841umdqx" w:id="4"/>
      <w:bookmarkEnd w:id="4"/>
      <w:r w:rsidDel="00000000" w:rsidR="00000000" w:rsidRPr="00000000">
        <w:rPr>
          <w:rFonts w:ascii="Times New Roman" w:cs="Times New Roman" w:eastAsia="Times New Roman" w:hAnsi="Times New Roman"/>
          <w:b w:val="1"/>
          <w:sz w:val="34"/>
          <w:szCs w:val="34"/>
          <w:rtl w:val="0"/>
        </w:rPr>
        <w:t xml:space="preserve">Monte Carlo Option Pricing Engine</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Kayla Sermini</w:t>
        <w:br w:type="textWrapping"/>
        <w:t xml:space="preserve"> </w:t>
      </w:r>
      <w:r w:rsidDel="00000000" w:rsidR="00000000" w:rsidRPr="00000000">
        <w:rPr>
          <w:rFonts w:ascii="Times New Roman" w:cs="Times New Roman" w:eastAsia="Times New Roman" w:hAnsi="Times New Roman"/>
          <w:b w:val="1"/>
          <w:rtl w:val="0"/>
        </w:rPr>
        <w:t xml:space="preserve">Language:</w:t>
      </w:r>
      <w:r w:rsidDel="00000000" w:rsidR="00000000" w:rsidRPr="00000000">
        <w:rPr>
          <w:rFonts w:ascii="Times New Roman" w:cs="Times New Roman" w:eastAsia="Times New Roman" w:hAnsi="Times New Roman"/>
          <w:rtl w:val="0"/>
        </w:rPr>
        <w:t xml:space="preserve"> C++17</w:t>
        <w:br w:type="textWrapping"/>
        <w:t xml:space="preserve"> </w:t>
      </w:r>
      <w:r w:rsidDel="00000000" w:rsidR="00000000" w:rsidRPr="00000000">
        <w:rPr>
          <w:rFonts w:ascii="Times New Roman" w:cs="Times New Roman" w:eastAsia="Times New Roman" w:hAnsi="Times New Roman"/>
          <w:b w:val="1"/>
          <w:rtl w:val="0"/>
        </w:rPr>
        <w:t xml:space="preserve">Project Type:</w:t>
      </w:r>
      <w:r w:rsidDel="00000000" w:rsidR="00000000" w:rsidRPr="00000000">
        <w:rPr>
          <w:rFonts w:ascii="Times New Roman" w:cs="Times New Roman" w:eastAsia="Times New Roman" w:hAnsi="Times New Roman"/>
          <w:rtl w:val="0"/>
        </w:rPr>
        <w:t xml:space="preserve"> Portfolio | Quantitative Finance | High Performance Computing</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5,5,Heading 6,6,"</w:instrText>
            <w:fldChar w:fldCharType="separate"/>
          </w:r>
          <w:hyperlink w:anchor="_544fljmejpu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Design Document (SDD)</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osa0841umdq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Monte Carlo Option Pricing Engine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jfamcge2twj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color w:val="000000"/>
              <w:u w:val="none"/>
            </w:rPr>
          </w:pPr>
          <w:hyperlink w:anchor="_kvd59o75z2z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color w:val="000000"/>
              <w:u w:val="none"/>
            </w:rPr>
          </w:pPr>
          <w:hyperlink w:anchor="_6umt4bmfnlw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q646qaoi1cz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Architecture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v6tif39n5k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High-Level Overview</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fow7rbwy85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Component Diagram</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9hpms8n4ivy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Class Design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color w:val="000000"/>
              <w:u w:val="none"/>
            </w:rPr>
          </w:pPr>
          <w:hyperlink w:anchor="_uhqyeit3oy3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Class Diagram</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jb29t6pfi1f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Execution Flow</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l9xuz2vo1i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Sequence Diagram</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b53ujswu2a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 Overview</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onaldkeml8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Design Decisions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hdsrbw7degp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Design Patterns Used</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pzkajk66il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Factory Pattern (Manual version)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a3mpj6loerp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Strategy Pattern (Future-proofing)</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2ne86a22yo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Template Method Pattern</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4pe36pf0ls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Single Responsibility Principle (SRP)</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xswg272hua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Thread Pool Potential (Command Pattern upgrade)</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8s6ctkl4zc6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Table</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dajsdyjxnnh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Justifications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l4ogkbidy9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Resilience and Performance Alignment</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bk1eued0woc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Multithreading Strategy</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kkbvjiep2xc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Usage</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imdkvcs0xqp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Input Parameters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e45eiiix0iu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 Run Simulation</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ef2hi1faia5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 Output</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91n6cbs5vp8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Build Instructions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8ob50ncbjbg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Tools Required</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lcxklmw8mia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 Compile</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ougwgheilrg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 Run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6rx2m0g9p8y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 Clean</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frozon64nqn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Future Enhancements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5gu9yh1smif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Conclusion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rFonts w:ascii="Times New Roman" w:cs="Times New Roman" w:eastAsia="Times New Roman" w:hAnsi="Times New Roman"/>
          <w:b w:val="1"/>
          <w:sz w:val="34"/>
          <w:szCs w:val="34"/>
        </w:rPr>
      </w:pPr>
      <w:bookmarkStart w:colFirst="0" w:colLast="0" w:name="_jfamcge2twjj" w:id="5"/>
      <w:bookmarkEnd w:id="5"/>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vd59o75z2zg" w:id="6"/>
      <w:bookmarkEnd w:id="6"/>
      <w:r w:rsidDel="00000000" w:rsidR="00000000" w:rsidRPr="00000000">
        <w:rPr>
          <w:rFonts w:ascii="Times New Roman" w:cs="Times New Roman" w:eastAsia="Times New Roman" w:hAnsi="Times New Roman"/>
          <w:b w:val="1"/>
          <w:color w:val="000000"/>
          <w:sz w:val="26"/>
          <w:szCs w:val="26"/>
          <w:rtl w:val="0"/>
        </w:rPr>
        <w:t xml:space="preserve">1.1 Purpose</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design and implementation of a Monte Carlo Option Pricing Engine in C++. The project aims to demonstrate advanced C++ programming skills, adherence to OOP principles, and efficient use of data structures and algorithms pertinent to quantitative finance applications.</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umt4bmfnlwa" w:id="7"/>
      <w:bookmarkEnd w:id="7"/>
      <w:r w:rsidDel="00000000" w:rsidR="00000000" w:rsidRPr="00000000">
        <w:rPr>
          <w:rFonts w:ascii="Times New Roman" w:cs="Times New Roman" w:eastAsia="Times New Roman" w:hAnsi="Times New Roman"/>
          <w:b w:val="1"/>
          <w:color w:val="000000"/>
          <w:sz w:val="26"/>
          <w:szCs w:val="26"/>
          <w:rtl w:val="0"/>
        </w:rPr>
        <w:t xml:space="preserve">1.2 Scope</w:t>
      </w:r>
    </w:p>
    <w:p w:rsidR="00000000" w:rsidDel="00000000" w:rsidP="00000000" w:rsidRDefault="00000000" w:rsidRPr="00000000" w14:paraId="00000031">
      <w:pPr>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 supports pricing European-style Call and Put options using the Monte Carlo simulation method. It incorporates multithreading for performance optimization and is designed with extensibility in mind, allowing for future integration of additional financial models and instruments.</w:t>
      </w:r>
      <w:r w:rsidDel="00000000" w:rsidR="00000000" w:rsidRPr="00000000">
        <w:rPr>
          <w:rtl w:val="0"/>
        </w:rPr>
      </w:r>
    </w:p>
    <w:p w:rsidR="00000000" w:rsidDel="00000000" w:rsidP="00000000" w:rsidRDefault="00000000" w:rsidRPr="00000000" w14:paraId="0000003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extensions may include:</w:t>
      </w:r>
    </w:p>
    <w:p w:rsidR="00000000" w:rsidDel="00000000" w:rsidP="00000000" w:rsidRDefault="00000000" w:rsidRPr="00000000" w14:paraId="00000033">
      <w:pPr>
        <w:numPr>
          <w:ilvl w:val="0"/>
          <w:numId w:val="6"/>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Greeks (Delta, Gamma, etc.)</w:t>
      </w:r>
    </w:p>
    <w:p w:rsidR="00000000" w:rsidDel="00000000" w:rsidP="00000000" w:rsidRDefault="00000000" w:rsidRPr="00000000" w14:paraId="00000034">
      <w:pPr>
        <w:numPr>
          <w:ilvl w:val="0"/>
          <w:numId w:val="6"/>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Heston model for stochastic volatility</w:t>
      </w:r>
    </w:p>
    <w:p w:rsidR="00000000" w:rsidDel="00000000" w:rsidP="00000000" w:rsidRDefault="00000000" w:rsidRPr="00000000" w14:paraId="00000035">
      <w:pPr>
        <w:numPr>
          <w:ilvl w:val="0"/>
          <w:numId w:val="6"/>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Asian/barrier options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rFonts w:ascii="Times New Roman" w:cs="Times New Roman" w:eastAsia="Times New Roman" w:hAnsi="Times New Roman"/>
          <w:b w:val="1"/>
          <w:sz w:val="34"/>
          <w:szCs w:val="34"/>
        </w:rPr>
      </w:pPr>
      <w:bookmarkStart w:colFirst="0" w:colLast="0" w:name="_q646qaoi1czb" w:id="8"/>
      <w:bookmarkEnd w:id="8"/>
      <w:r w:rsidDel="00000000" w:rsidR="00000000" w:rsidRPr="00000000">
        <w:rPr>
          <w:rFonts w:ascii="Times New Roman" w:cs="Times New Roman" w:eastAsia="Times New Roman" w:hAnsi="Times New Roman"/>
          <w:b w:val="1"/>
          <w:sz w:val="34"/>
          <w:szCs w:val="34"/>
          <w:rtl w:val="0"/>
        </w:rPr>
        <w:t xml:space="preserve">2. Architecture</w:t>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6tif39n5kqh" w:id="9"/>
      <w:bookmarkEnd w:id="9"/>
      <w:r w:rsidDel="00000000" w:rsidR="00000000" w:rsidRPr="00000000">
        <w:rPr>
          <w:rFonts w:ascii="Times New Roman" w:cs="Times New Roman" w:eastAsia="Times New Roman" w:hAnsi="Times New Roman"/>
          <w:b w:val="1"/>
          <w:color w:val="000000"/>
          <w:sz w:val="26"/>
          <w:szCs w:val="26"/>
          <w:rtl w:val="0"/>
        </w:rPr>
        <w:t xml:space="preserve">2.1 High-Level Overview</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Monte Carlo Option Pricing Engine simulates numerous possible future asset prices and calculates expected option payoff using a stochastic process.Multithreading enables efficient utilization of CPU resources. The system is built in a modular, testable, and performance-oriented way.</w: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ow7rbwy854k" w:id="10"/>
      <w:bookmarkEnd w:id="10"/>
      <w:r w:rsidDel="00000000" w:rsidR="00000000" w:rsidRPr="00000000">
        <w:rPr>
          <w:rFonts w:ascii="Times New Roman" w:cs="Times New Roman" w:eastAsia="Times New Roman" w:hAnsi="Times New Roman"/>
          <w:b w:val="1"/>
          <w:color w:val="000000"/>
          <w:sz w:val="26"/>
          <w:szCs w:val="26"/>
          <w:rtl w:val="0"/>
        </w:rPr>
        <w:t xml:space="preserve">2.2 Component Diagram</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4350" cy="30575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243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kkhswnv5g0u" w:id="11"/>
      <w:bookmarkEnd w:id="11"/>
      <w:r w:rsidDel="00000000" w:rsidR="00000000" w:rsidRPr="00000000">
        <w:rPr>
          <w:rFonts w:ascii="Times New Roman" w:cs="Times New Roman" w:eastAsia="Times New Roman" w:hAnsi="Times New Roman"/>
          <w:b w:val="1"/>
          <w:color w:val="000000"/>
          <w:sz w:val="22"/>
          <w:szCs w:val="22"/>
          <w:rtl w:val="0"/>
        </w:rPr>
        <w:t xml:space="preserve">Explanation</w:t>
      </w:r>
    </w:p>
    <w:p w:rsidR="00000000" w:rsidDel="00000000" w:rsidP="00000000" w:rsidRDefault="00000000" w:rsidRPr="00000000" w14:paraId="0000003E">
      <w:pPr>
        <w:numPr>
          <w:ilvl w:val="0"/>
          <w:numId w:val="3"/>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main.cpp</w:t>
      </w:r>
      <w:r w:rsidDel="00000000" w:rsidR="00000000" w:rsidRPr="00000000">
        <w:rPr>
          <w:rFonts w:ascii="Times New Roman" w:cs="Times New Roman" w:eastAsia="Times New Roman" w:hAnsi="Times New Roman"/>
          <w:rtl w:val="0"/>
        </w:rPr>
        <w:t xml:space="preserve">: Entry point, receives user inputs and runs simulation.</w:t>
      </w:r>
    </w:p>
    <w:p w:rsidR="00000000" w:rsidDel="00000000" w:rsidP="00000000" w:rsidRDefault="00000000" w:rsidRPr="00000000" w14:paraId="0000003F">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OptionPricer</w:t>
      </w:r>
      <w:r w:rsidDel="00000000" w:rsidR="00000000" w:rsidRPr="00000000">
        <w:rPr>
          <w:rFonts w:ascii="Times New Roman" w:cs="Times New Roman" w:eastAsia="Times New Roman" w:hAnsi="Times New Roman"/>
          <w:rtl w:val="0"/>
        </w:rPr>
        <w:t xml:space="preserve">: Orchestrates simulations, aggregation, and pricing.</w:t>
      </w:r>
    </w:p>
    <w:p w:rsidR="00000000" w:rsidDel="00000000" w:rsidP="00000000" w:rsidRDefault="00000000" w:rsidRPr="00000000" w14:paraId="00000040">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IPricingModel</w:t>
      </w:r>
      <w:r w:rsidDel="00000000" w:rsidR="00000000" w:rsidRPr="00000000">
        <w:rPr>
          <w:rFonts w:ascii="Times New Roman" w:cs="Times New Roman" w:eastAsia="Times New Roman" w:hAnsi="Times New Roman"/>
          <w:rtl w:val="0"/>
        </w:rPr>
        <w:t xml:space="preserve">: Abstract interface for pricing algorithms.</w:t>
      </w:r>
    </w:p>
    <w:p w:rsidR="00000000" w:rsidDel="00000000" w:rsidP="00000000" w:rsidRDefault="00000000" w:rsidRPr="00000000" w14:paraId="00000041">
      <w:pPr>
        <w:numPr>
          <w:ilvl w:val="0"/>
          <w:numId w:val="3"/>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BlackScholesModel</w:t>
      </w:r>
      <w:r w:rsidDel="00000000" w:rsidR="00000000" w:rsidRPr="00000000">
        <w:rPr>
          <w:rFonts w:ascii="Times New Roman" w:cs="Times New Roman" w:eastAsia="Times New Roman" w:hAnsi="Times New Roman"/>
          <w:rtl w:val="0"/>
        </w:rPr>
        <w:t xml:space="preserve">: Concrete pricing implementation.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rFonts w:ascii="Times New Roman" w:cs="Times New Roman" w:eastAsia="Times New Roman" w:hAnsi="Times New Roman"/>
          <w:b w:val="1"/>
          <w:sz w:val="34"/>
          <w:szCs w:val="34"/>
        </w:rPr>
      </w:pPr>
      <w:bookmarkStart w:colFirst="0" w:colLast="0" w:name="_9hpms8n4ivy0" w:id="12"/>
      <w:bookmarkEnd w:id="12"/>
      <w:r w:rsidDel="00000000" w:rsidR="00000000" w:rsidRPr="00000000">
        <w:rPr>
          <w:rFonts w:ascii="Times New Roman" w:cs="Times New Roman" w:eastAsia="Times New Roman" w:hAnsi="Times New Roman"/>
          <w:b w:val="1"/>
          <w:sz w:val="34"/>
          <w:szCs w:val="34"/>
          <w:rtl w:val="0"/>
        </w:rPr>
        <w:t xml:space="preserve">3. Class Design</w:t>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hqyeit3oy3c" w:id="13"/>
      <w:bookmarkEnd w:id="13"/>
      <w:r w:rsidDel="00000000" w:rsidR="00000000" w:rsidRPr="00000000">
        <w:rPr>
          <w:rFonts w:ascii="Times New Roman" w:cs="Times New Roman" w:eastAsia="Times New Roman" w:hAnsi="Times New Roman"/>
          <w:b w:val="1"/>
          <w:color w:val="000000"/>
          <w:sz w:val="26"/>
          <w:szCs w:val="26"/>
          <w:rtl w:val="0"/>
        </w:rPr>
        <w:t xml:space="preserve">3.1 Class Diagram</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2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uixy59gt3n3f" w:id="14"/>
      <w:bookmarkEnd w:id="14"/>
      <w:r w:rsidDel="00000000" w:rsidR="00000000" w:rsidRPr="00000000">
        <w:rPr>
          <w:rFonts w:ascii="Times New Roman" w:cs="Times New Roman" w:eastAsia="Times New Roman" w:hAnsi="Times New Roman"/>
          <w:b w:val="1"/>
          <w:color w:val="000000"/>
          <w:sz w:val="26"/>
          <w:szCs w:val="26"/>
          <w:rtl w:val="0"/>
        </w:rPr>
        <w:t xml:space="preserve">Class Roles and Responsibilities</w:t>
      </w:r>
    </w:p>
    <w:tbl>
      <w:tblPr>
        <w:tblStyle w:val="Table1"/>
        <w:tblW w:w="9220.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2720"/>
        <w:gridCol w:w="6500"/>
        <w:tblGridChange w:id="0">
          <w:tblGrid>
            <w:gridCol w:w="2720"/>
            <w:gridCol w:w="6500"/>
          </w:tblGrid>
        </w:tblGridChange>
      </w:tblGrid>
      <w:tr>
        <w:trPr>
          <w:cantSplit w:val="0"/>
          <w:trHeight w:val="500" w:hRule="atLeast"/>
          <w:tblHeader w:val="0"/>
        </w:trPr>
        <w:tc>
          <w:tcPr>
            <w:tcBorders>
              <w:top w:color="073763" w:space="0" w:sz="8" w:val="single"/>
              <w:left w:color="073763" w:space="0" w:sz="8" w:val="single"/>
              <w:bottom w:color="073763" w:space="0" w:sz="8" w:val="single"/>
              <w:right w:color="073763" w:space="0" w:sz="8" w:val="single"/>
            </w:tcBorders>
            <w:shd w:fill="cfe2f3" w:val="clear"/>
            <w:tcMar>
              <w:top w:w="-44.64" w:type="dxa"/>
              <w:left w:w="-44.64" w:type="dxa"/>
              <w:bottom w:w="-44.64" w:type="dxa"/>
              <w:right w:w="-44.64" w:type="dxa"/>
            </w:tcMar>
            <w:vAlign w:val="top"/>
          </w:tcPr>
          <w:p w:rsidR="00000000" w:rsidDel="00000000" w:rsidP="00000000" w:rsidRDefault="00000000" w:rsidRPr="00000000" w14:paraId="00000049">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cfe2f3" w:val="clear"/>
            <w:tcMar>
              <w:top w:w="-44.64" w:type="dxa"/>
              <w:left w:w="-44.64" w:type="dxa"/>
              <w:bottom w:w="-44.64" w:type="dxa"/>
              <w:right w:w="-44.64" w:type="dxa"/>
            </w:tcMar>
            <w:vAlign w:val="top"/>
          </w:tcPr>
          <w:p w:rsidR="00000000" w:rsidDel="00000000" w:rsidP="00000000" w:rsidRDefault="00000000" w:rsidRPr="00000000" w14:paraId="0000004A">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Responsibility</w:t>
            </w:r>
            <w:r w:rsidDel="00000000" w:rsidR="00000000" w:rsidRPr="00000000">
              <w:rPr>
                <w:rtl w:val="0"/>
              </w:rPr>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4B">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OptionPricer</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4C">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 simulation, workload distribution, aggregation, and pricing. Acts as the controller in the simulation pipeline.</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4D">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IPricingModel (interface)</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4E">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Abstracts away pricing logic. Allows flexible injection of different stochastic models (e.g., Black-Scholes, Heston).</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4F">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BlackScholesModel</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0">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 </w:t>
            </w:r>
            <w:r w:rsidDel="00000000" w:rsidR="00000000" w:rsidRPr="00000000">
              <w:rPr>
                <w:rFonts w:ascii="Times New Roman" w:cs="Times New Roman" w:eastAsia="Times New Roman" w:hAnsi="Times New Roman"/>
                <w:rtl w:val="0"/>
              </w:rPr>
              <w:t xml:space="preserve">IPricingModel</w:t>
            </w:r>
            <w:r w:rsidDel="00000000" w:rsidR="00000000" w:rsidRPr="00000000">
              <w:rPr>
                <w:rFonts w:ascii="Times New Roman" w:cs="Times New Roman" w:eastAsia="Times New Roman" w:hAnsi="Times New Roman"/>
                <w:rtl w:val="0"/>
              </w:rPr>
              <w:t xml:space="preserve"> with logic specific to the Black-Scholes pricing formula.</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1">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HestonModel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(optional future)</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2">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different pricing strategy using stochastic volatility.</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OptionType (enum)</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Encodes option variety (Call or Put) as a type-safe enum, improving readability and reducing logic errors.</w:t>
            </w:r>
          </w:p>
        </w:tc>
      </w:tr>
    </w:tbl>
    <w:p w:rsidR="00000000" w:rsidDel="00000000" w:rsidP="00000000" w:rsidRDefault="00000000" w:rsidRPr="00000000" w14:paraId="00000055">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7gafwj5908ve" w:id="15"/>
      <w:bookmarkEnd w:id="15"/>
      <w:r w:rsidDel="00000000" w:rsidR="00000000" w:rsidRPr="00000000">
        <w:rPr>
          <w:rFonts w:ascii="Times New Roman" w:cs="Times New Roman" w:eastAsia="Times New Roman" w:hAnsi="Times New Roman"/>
          <w:b w:val="1"/>
          <w:color w:val="000000"/>
          <w:sz w:val="26"/>
          <w:szCs w:val="26"/>
          <w:rtl w:val="0"/>
        </w:rPr>
        <w:t xml:space="preserve">Design Principles Applied</w:t>
      </w:r>
    </w:p>
    <w:tbl>
      <w:tblPr>
        <w:tblStyle w:val="Table2"/>
        <w:tblW w:w="9220.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2945"/>
        <w:gridCol w:w="6275"/>
        <w:tblGridChange w:id="0">
          <w:tblGrid>
            <w:gridCol w:w="2945"/>
            <w:gridCol w:w="6275"/>
          </w:tblGrid>
        </w:tblGridChange>
      </w:tblGrid>
      <w:tr>
        <w:trPr>
          <w:cantSplit w:val="0"/>
          <w:trHeight w:val="500" w:hRule="atLeast"/>
          <w:tblHeader w:val="0"/>
        </w:trPr>
        <w:tc>
          <w:tcPr>
            <w:tcBorders>
              <w:top w:color="073763" w:space="0" w:sz="8" w:val="single"/>
              <w:left w:color="073763" w:space="0" w:sz="8" w:val="single"/>
              <w:bottom w:color="073763" w:space="0" w:sz="8" w:val="single"/>
              <w:right w:color="073763" w:space="0" w:sz="8" w:val="single"/>
            </w:tcBorders>
            <w:shd w:fill="cfe2f3" w:val="clear"/>
            <w:tcMar>
              <w:top w:w="-44.64" w:type="dxa"/>
              <w:left w:w="-44.64" w:type="dxa"/>
              <w:bottom w:w="-44.64" w:type="dxa"/>
              <w:right w:w="-44.64" w:type="dxa"/>
            </w:tcMar>
            <w:vAlign w:val="top"/>
          </w:tcPr>
          <w:p w:rsidR="00000000" w:rsidDel="00000000" w:rsidP="00000000" w:rsidRDefault="00000000" w:rsidRPr="00000000" w14:paraId="00000057">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Principle</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cfe2f3" w:val="clear"/>
            <w:tcMar>
              <w:top w:w="-44.64" w:type="dxa"/>
              <w:left w:w="-44.64" w:type="dxa"/>
              <w:bottom w:w="-44.64" w:type="dxa"/>
              <w:right w:w="-44.64" w:type="dxa"/>
            </w:tcMar>
            <w:vAlign w:val="top"/>
          </w:tcPr>
          <w:p w:rsidR="00000000" w:rsidDel="00000000" w:rsidP="00000000" w:rsidRDefault="00000000" w:rsidRPr="00000000" w14:paraId="00000058">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w:t>
            </w:r>
            <w:r w:rsidDel="00000000" w:rsidR="00000000" w:rsidRPr="00000000">
              <w:rPr>
                <w:rtl w:val="0"/>
              </w:rPr>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9">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Encapsulation</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A">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OptionPricer hides pricing internals and exposes only high-level simulation APIs.</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B">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Single Responsibility Principle (SRP)</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C">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class handles one concept: pricing logic (model), orchestration (pricer), or option metadata (enum).</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D">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Open/Closed Principle</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E">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OptionPricer can use any model implementing </w:t>
            </w:r>
            <w:r w:rsidDel="00000000" w:rsidR="00000000" w:rsidRPr="00000000">
              <w:rPr>
                <w:rFonts w:ascii="Roboto Mono" w:cs="Roboto Mono" w:eastAsia="Roboto Mono" w:hAnsi="Roboto Mono"/>
                <w:color w:val="188038"/>
                <w:rtl w:val="0"/>
              </w:rPr>
              <w:t xml:space="preserve">IPricingModel</w:t>
            </w:r>
            <w:r w:rsidDel="00000000" w:rsidR="00000000" w:rsidRPr="00000000">
              <w:rPr>
                <w:rFonts w:ascii="Times New Roman" w:cs="Times New Roman" w:eastAsia="Times New Roman" w:hAnsi="Times New Roman"/>
                <w:rtl w:val="0"/>
              </w:rPr>
              <w:t xml:space="preserve"> without modification.</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5F">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Dependency Inversion Principle</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60">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Pricing logic depends on the abstract </w:t>
            </w:r>
            <w:r w:rsidDel="00000000" w:rsidR="00000000" w:rsidRPr="00000000">
              <w:rPr>
                <w:rFonts w:ascii="Roboto Mono" w:cs="Roboto Mono" w:eastAsia="Roboto Mono" w:hAnsi="Roboto Mono"/>
                <w:color w:val="188038"/>
                <w:rtl w:val="0"/>
              </w:rPr>
              <w:t xml:space="preserve">IPricingModel</w:t>
            </w:r>
            <w:r w:rsidDel="00000000" w:rsidR="00000000" w:rsidRPr="00000000">
              <w:rPr>
                <w:rFonts w:ascii="Times New Roman" w:cs="Times New Roman" w:eastAsia="Times New Roman" w:hAnsi="Times New Roman"/>
                <w:rtl w:val="0"/>
              </w:rPr>
              <w:t xml:space="preserve">, not concrete implementations.</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61">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Polymorphism</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44.64" w:type="dxa"/>
              <w:left w:w="-44.64" w:type="dxa"/>
              <w:bottom w:w="-44.64" w:type="dxa"/>
              <w:right w:w="-44.64" w:type="dxa"/>
            </w:tcMar>
            <w:vAlign w:val="top"/>
          </w:tcPr>
          <w:p w:rsidR="00000000" w:rsidDel="00000000" w:rsidP="00000000" w:rsidRDefault="00000000" w:rsidRPr="00000000" w14:paraId="00000062">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runtime injection of pricing strategies using interface-based inheritance.</w:t>
            </w:r>
          </w:p>
        </w:tc>
      </w:tr>
    </w:tbl>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li1p9yhg3uh1" w:id="16"/>
      <w:bookmarkEnd w:id="16"/>
      <w:r w:rsidDel="00000000" w:rsidR="00000000" w:rsidRPr="00000000">
        <w:rPr>
          <w:rFonts w:ascii="Times New Roman" w:cs="Times New Roman" w:eastAsia="Times New Roman" w:hAnsi="Times New Roman"/>
          <w:b w:val="1"/>
          <w:color w:val="000000"/>
          <w:sz w:val="26"/>
          <w:szCs w:val="26"/>
          <w:rtl w:val="0"/>
        </w:rPr>
        <w:t xml:space="preserve">Performance Alignment</w:t>
      </w:r>
    </w:p>
    <w:tbl>
      <w:tblPr>
        <w:tblStyle w:val="Table3"/>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6950"/>
        <w:tblGridChange w:id="0">
          <w:tblGrid>
            <w:gridCol w:w="2270"/>
            <w:gridCol w:w="6950"/>
          </w:tblGrid>
        </w:tblGridChange>
      </w:tblGrid>
      <w:tr>
        <w:trPr>
          <w:cantSplit w:val="0"/>
          <w:tblHeader w:val="0"/>
        </w:trPr>
        <w:tc>
          <w:tcPr>
            <w:tcBorders>
              <w:top w:color="073763" w:space="0" w:sz="8" w:val="single"/>
              <w:left w:color="073763" w:space="0" w:sz="8" w:val="single"/>
              <w:bottom w:color="073763" w:space="0" w:sz="8" w:val="single"/>
              <w:right w:color="073763" w:space="0" w:sz="8" w:val="single"/>
            </w:tcBorders>
            <w:shd w:fill="cfe2f3"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5">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Concern</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cfe2f3"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6">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Feature</w:t>
            </w:r>
            <w:r w:rsidDel="00000000" w:rsidR="00000000" w:rsidRPr="00000000">
              <w:rPr>
                <w:rtl w:val="0"/>
              </w:rPr>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7">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Memory locality</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8">
            <w:pPr>
              <w:spacing w:after="24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pricing logic is encapsulated per-thread; models can be reused statelessly.</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9">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 overhead</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A">
            <w:pPr>
              <w:spacing w:after="24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Interface method calls are optimized by compiler via inlining where applicable.</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B">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Safety</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C">
            <w:pPr>
              <w:spacing w:after="24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Type-safe enum prevents misuse of option type conditions.</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D">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Parallel compatibility</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E">
            <w:pPr>
              <w:spacing w:after="24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 shared mutable state within pricing model or pricer logic. Thread-safe by design.</w:t>
            </w:r>
          </w:p>
        </w:tc>
      </w:tr>
    </w:tbl>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rFonts w:ascii="Times New Roman" w:cs="Times New Roman" w:eastAsia="Times New Roman" w:hAnsi="Times New Roman"/>
          <w:b w:val="1"/>
          <w:sz w:val="34"/>
          <w:szCs w:val="34"/>
        </w:rPr>
      </w:pPr>
      <w:bookmarkStart w:colFirst="0" w:colLast="0" w:name="_jb29t6pfi1f4" w:id="17"/>
      <w:bookmarkEnd w:id="17"/>
      <w:r w:rsidDel="00000000" w:rsidR="00000000" w:rsidRPr="00000000">
        <w:rPr>
          <w:rFonts w:ascii="Times New Roman" w:cs="Times New Roman" w:eastAsia="Times New Roman" w:hAnsi="Times New Roman"/>
          <w:b w:val="1"/>
          <w:sz w:val="34"/>
          <w:szCs w:val="34"/>
          <w:rtl w:val="0"/>
        </w:rPr>
        <w:t xml:space="preserve">4. Execution Flow</w:t>
      </w:r>
    </w:p>
    <w:p w:rsidR="00000000" w:rsidDel="00000000" w:rsidP="00000000" w:rsidRDefault="00000000" w:rsidRPr="00000000" w14:paraId="0000007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9xuz2vo1i6" w:id="18"/>
      <w:bookmarkEnd w:id="18"/>
      <w:r w:rsidDel="00000000" w:rsidR="00000000" w:rsidRPr="00000000">
        <w:rPr>
          <w:rFonts w:ascii="Times New Roman" w:cs="Times New Roman" w:eastAsia="Times New Roman" w:hAnsi="Times New Roman"/>
          <w:b w:val="1"/>
          <w:color w:val="000000"/>
          <w:sz w:val="26"/>
          <w:szCs w:val="26"/>
          <w:rtl w:val="0"/>
        </w:rPr>
        <w:t xml:space="preserve">4.1 Sequence Diagram</w:t>
      </w:r>
    </w:p>
    <w:p w:rsidR="00000000" w:rsidDel="00000000" w:rsidP="00000000" w:rsidRDefault="00000000" w:rsidRPr="00000000" w14:paraId="0000007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53ujswu2a0" w:id="19"/>
      <w:bookmarkEnd w:id="19"/>
      <w:r w:rsidDel="00000000" w:rsidR="00000000" w:rsidRPr="00000000">
        <w:rPr>
          <w:rFonts w:ascii="Times New Roman" w:cs="Times New Roman" w:eastAsia="Times New Roman" w:hAnsi="Times New Roman"/>
          <w:b w:val="1"/>
          <w:color w:val="000000"/>
          <w:sz w:val="24"/>
          <w:szCs w:val="24"/>
          <w:rtl w:val="0"/>
        </w:rPr>
        <w:t xml:space="preserve">Diagram Overview</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sequence diagram illustrates the end-to-end execution flow of the Monte Carlo Option Pricing Engine, including low-latency optimization techniques, multithreaded simulation, error handling, and fallback mechanisms.</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extends the basic flow to cover more realistic and production-grade requirements, such as fault tolerance and computational resilience under high-load environments—common in quantitative finance applications.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18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rPr>
          <w:rFonts w:ascii="Times New Roman" w:cs="Times New Roman" w:eastAsia="Times New Roman" w:hAnsi="Times New Roman"/>
        </w:rPr>
      </w:pPr>
      <w:bookmarkStart w:colFirst="0" w:colLast="0" w:name="_8xrv0j3oxtv9" w:id="20"/>
      <w:bookmarkEnd w:id="20"/>
      <w:r w:rsidDel="00000000" w:rsidR="00000000" w:rsidRPr="00000000">
        <w:rPr>
          <w:rFonts w:ascii="Times New Roman" w:cs="Times New Roman" w:eastAsia="Times New Roman" w:hAnsi="Times New Roman"/>
          <w:b w:val="1"/>
          <w:color w:val="000000"/>
          <w:sz w:val="22"/>
          <w:szCs w:val="22"/>
          <w:rtl w:val="0"/>
        </w:rPr>
        <w:t xml:space="preserve">Explanation</w:t>
      </w:r>
      <w:r w:rsidDel="00000000" w:rsidR="00000000" w:rsidRPr="00000000">
        <w:rPr>
          <w:rtl w:val="0"/>
        </w:rPr>
      </w:r>
    </w:p>
    <w:tbl>
      <w:tblPr>
        <w:tblStyle w:val="Table4"/>
        <w:tblW w:w="9210.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930"/>
        <w:gridCol w:w="8280"/>
        <w:tblGridChange w:id="0">
          <w:tblGrid>
            <w:gridCol w:w="930"/>
            <w:gridCol w:w="8280"/>
          </w:tblGrid>
        </w:tblGridChange>
      </w:tblGrid>
      <w:tr>
        <w:trPr>
          <w:cantSplit w:val="0"/>
          <w:trHeight w:val="575.92529296875" w:hRule="atLeast"/>
          <w:tblHeader w:val="0"/>
        </w:trPr>
        <w:tc>
          <w:tcPr>
            <w:tcBorders>
              <w:top w:color="073763" w:space="0" w:sz="8" w:val="single"/>
              <w:left w:color="073763" w:space="0" w:sz="8" w:val="single"/>
              <w:bottom w:color="073763" w:space="0" w:sz="8" w:val="single"/>
              <w:right w:color="073763" w:space="0" w:sz="8" w:val="single"/>
            </w:tcBorders>
            <w:shd w:fill="cfe2f3" w:val="clear"/>
            <w:tcMar>
              <w:top w:w="-1628.64" w:type="dxa"/>
              <w:left w:w="-1628.64" w:type="dxa"/>
              <w:bottom w:w="-1628.64" w:type="dxa"/>
              <w:right w:w="-1628.64" w:type="dxa"/>
            </w:tcMar>
            <w:vAlign w:val="top"/>
          </w:tcPr>
          <w:p w:rsidR="00000000" w:rsidDel="00000000" w:rsidP="00000000" w:rsidRDefault="00000000" w:rsidRPr="00000000" w14:paraId="0000007A">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cfe2f3" w:val="clear"/>
            <w:tcMar>
              <w:top w:w="-1628.64" w:type="dxa"/>
              <w:left w:w="-1628.64" w:type="dxa"/>
              <w:bottom w:w="-1628.64" w:type="dxa"/>
              <w:right w:w="-1628.64" w:type="dxa"/>
            </w:tcMar>
            <w:vAlign w:val="top"/>
          </w:tcPr>
          <w:p w:rsidR="00000000" w:rsidDel="00000000" w:rsidP="00000000" w:rsidRDefault="00000000" w:rsidRPr="00000000" w14:paraId="0000007B">
            <w:pPr>
              <w:spacing w:after="24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635.92529296875" w:hRule="atLeast"/>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7C">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7D">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initiates execution via the program entry point in </w:t>
            </w:r>
            <w:r w:rsidDel="00000000" w:rsidR="00000000" w:rsidRPr="00000000">
              <w:rPr>
                <w:rFonts w:ascii="Times New Roman" w:cs="Times New Roman" w:eastAsia="Times New Roman" w:hAnsi="Times New Roman"/>
                <w:rtl w:val="0"/>
              </w:rPr>
              <w:t xml:space="preserve">main.cpp</w:t>
            </w:r>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7E">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7F">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instance of </w:t>
            </w:r>
            <w:r w:rsidDel="00000000" w:rsidR="00000000" w:rsidRPr="00000000">
              <w:rPr>
                <w:rFonts w:ascii="Times New Roman" w:cs="Times New Roman" w:eastAsia="Times New Roman" w:hAnsi="Times New Roman"/>
                <w:rtl w:val="0"/>
              </w:rPr>
              <w:t xml:space="preserve">OptionPricer</w:t>
            </w:r>
            <w:r w:rsidDel="00000000" w:rsidR="00000000" w:rsidRPr="00000000">
              <w:rPr>
                <w:rFonts w:ascii="Times New Roman" w:cs="Times New Roman" w:eastAsia="Times New Roman" w:hAnsi="Times New Roman"/>
                <w:rtl w:val="0"/>
              </w:rPr>
              <w:t xml:space="preserve"> is created, initialized with pricing parameters (e.g., spot price, strike price, maturity).</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0">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1">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price()</w:t>
            </w:r>
            <w:r w:rsidDel="00000000" w:rsidR="00000000" w:rsidRPr="00000000">
              <w:rPr>
                <w:rFonts w:ascii="Times New Roman" w:cs="Times New Roman" w:eastAsia="Times New Roman" w:hAnsi="Times New Roman"/>
                <w:rtl w:val="0"/>
              </w:rPr>
              <w:t xml:space="preserve"> method is invoked. This is the central method coordinating all simulation logic.</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2">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3">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 begins by preallocating memory buffers and initializing thread-local resources to avoid latency introduced by dynamic memory operations during execution.</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4">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5">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simulation workload is divided across </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 threads, where </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 is either provided by the user or dynamically determined by querying system hardware concurrency.</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6">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7">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thread is launched independently, executing the </w:t>
            </w:r>
            <w:r w:rsidDel="00000000" w:rsidR="00000000" w:rsidRPr="00000000">
              <w:rPr>
                <w:rFonts w:ascii="Times New Roman" w:cs="Times New Roman" w:eastAsia="Times New Roman" w:hAnsi="Times New Roman"/>
                <w:rtl w:val="0"/>
              </w:rPr>
              <w:t xml:space="preserve">simulate_range()</w:t>
            </w:r>
            <w:r w:rsidDel="00000000" w:rsidR="00000000" w:rsidRPr="00000000">
              <w:rPr>
                <w:rFonts w:ascii="Times New Roman" w:cs="Times New Roman" w:eastAsia="Times New Roman" w:hAnsi="Times New Roman"/>
                <w:rtl w:val="0"/>
              </w:rPr>
              <w:t xml:space="preserve"> function for its assigned subrange of simulations.</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8">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9">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each thread, a thread-local instance of a random number generator (RNG) is used to generate asset price paths. This avoids contention and ensures reproducibility.</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A">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B">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thread encounters an error during simulation (e.g., RNG failure, numerical instability), it logs the error using a centralized </w:t>
            </w:r>
            <w:r w:rsidDel="00000000" w:rsidR="00000000" w:rsidRPr="00000000">
              <w:rPr>
                <w:rFonts w:ascii="Times New Roman" w:cs="Times New Roman" w:eastAsia="Times New Roman" w:hAnsi="Times New Roman"/>
                <w:rtl w:val="0"/>
              </w:rPr>
              <w:t xml:space="preserve">ErrorLogger</w:t>
            </w:r>
            <w:r w:rsidDel="00000000" w:rsidR="00000000" w:rsidRPr="00000000">
              <w:rPr>
                <w:rFonts w:ascii="Times New Roman" w:cs="Times New Roman" w:eastAsia="Times New Roman" w:hAnsi="Times New Roman"/>
                <w:rtl w:val="0"/>
              </w:rPr>
              <w:t xml:space="preserve"> utility.</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C">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D">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thread then retries the simulation up to a predefined threshold (</w:t>
            </w:r>
            <w:r w:rsidDel="00000000" w:rsidR="00000000" w:rsidRPr="00000000">
              <w:rPr>
                <w:rFonts w:ascii="Times New Roman" w:cs="Times New Roman" w:eastAsia="Times New Roman" w:hAnsi="Times New Roman"/>
                <w:rtl w:val="0"/>
              </w:rPr>
              <w:t xml:space="preserve">MAX_RETRIES</w:t>
            </w:r>
            <w:r w:rsidDel="00000000" w:rsidR="00000000" w:rsidRPr="00000000">
              <w:rPr>
                <w:rFonts w:ascii="Times New Roman" w:cs="Times New Roman" w:eastAsia="Times New Roman" w:hAnsi="Times New Roman"/>
                <w:rtl w:val="0"/>
              </w:rPr>
              <w:t xml:space="preserve">). If retries are exhausted, the thread flags itself as failed and halts further computation.</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E">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8F">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threads succeed, the main engine aggregates all partial payoffs and computes the final discounted expected value of the option.</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90">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91">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thread fails irrecoverably, the system invokes a fallback engine (e.g., single-threaded simulation) to recompute the price in a more controlled environment.</w:t>
            </w:r>
          </w:p>
        </w:tc>
      </w:tr>
      <w:tr>
        <w:trPr>
          <w:cantSplit w:val="0"/>
          <w:tblHeader w:val="0"/>
        </w:trPr>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92">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93">
            <w:p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output (either from multithreaded or fallback execution) is returned to </w:t>
            </w:r>
            <w:r w:rsidDel="00000000" w:rsidR="00000000" w:rsidRPr="00000000">
              <w:rPr>
                <w:rFonts w:ascii="Times New Roman" w:cs="Times New Roman" w:eastAsia="Times New Roman" w:hAnsi="Times New Roman"/>
                <w:rtl w:val="0"/>
              </w:rPr>
              <w:t xml:space="preserve">main.cpp</w:t>
            </w:r>
            <w:r w:rsidDel="00000000" w:rsidR="00000000" w:rsidRPr="00000000">
              <w:rPr>
                <w:rFonts w:ascii="Times New Roman" w:cs="Times New Roman" w:eastAsia="Times New Roman" w:hAnsi="Times New Roman"/>
                <w:rtl w:val="0"/>
              </w:rPr>
              <w:t xml:space="preserve">, which displays the result to the user along with diagnostic or timing information.</w:t>
            </w:r>
          </w:p>
        </w:tc>
      </w:tr>
    </w:tbl>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rFonts w:ascii="Times New Roman" w:cs="Times New Roman" w:eastAsia="Times New Roman" w:hAnsi="Times New Roman"/>
          <w:b w:val="1"/>
          <w:sz w:val="34"/>
          <w:szCs w:val="34"/>
        </w:rPr>
      </w:pPr>
      <w:bookmarkStart w:colFirst="0" w:colLast="0" w:name="_onaldkeml8nk" w:id="21"/>
      <w:bookmarkEnd w:id="21"/>
      <w:r w:rsidDel="00000000" w:rsidR="00000000" w:rsidRPr="00000000">
        <w:rPr>
          <w:rFonts w:ascii="Times New Roman" w:cs="Times New Roman" w:eastAsia="Times New Roman" w:hAnsi="Times New Roman"/>
          <w:b w:val="1"/>
          <w:sz w:val="34"/>
          <w:szCs w:val="34"/>
          <w:rtl w:val="0"/>
        </w:rPr>
        <w:t xml:space="preserve">5. Design Decisions</w:t>
      </w:r>
    </w:p>
    <w:tbl>
      <w:tblPr>
        <w:tblStyle w:val="Table5"/>
        <w:tblW w:w="8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6065"/>
        <w:tblGridChange w:id="0">
          <w:tblGrid>
            <w:gridCol w:w="2675"/>
            <w:gridCol w:w="6065"/>
          </w:tblGrid>
        </w:tblGridChange>
      </w:tblGrid>
      <w:tr>
        <w:trPr>
          <w:cantSplit w:val="0"/>
          <w:trHeight w:val="500" w:hRule="atLeast"/>
          <w:tblHeader w:val="0"/>
        </w:trPr>
        <w:tc>
          <w:tcPr>
            <w:tcBorders>
              <w:top w:color="0b5394" w:space="0" w:sz="4" w:val="single"/>
              <w:left w:color="0b5394" w:space="0" w:sz="4" w:val="single"/>
              <w:bottom w:color="0b5394" w:space="0" w:sz="4" w:val="single"/>
              <w:right w:color="0b5394" w:space="0" w:sz="4"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Element</w:t>
            </w:r>
            <w:r w:rsidDel="00000000" w:rsidR="00000000" w:rsidRPr="00000000">
              <w:rPr>
                <w:rtl w:val="0"/>
              </w:rPr>
            </w:r>
          </w:p>
        </w:tc>
        <w:tc>
          <w:tcPr>
            <w:tcBorders>
              <w:top w:color="0b5394" w:space="0" w:sz="4" w:val="single"/>
              <w:left w:color="0b5394" w:space="0" w:sz="4" w:val="single"/>
              <w:bottom w:color="0b5394" w:space="0" w:sz="4" w:val="single"/>
              <w:right w:color="0b5394" w:space="0" w:sz="4"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Reasoning</w:t>
            </w:r>
            <w:r w:rsidDel="00000000" w:rsidR="00000000" w:rsidRPr="00000000">
              <w:rPr>
                <w:rtl w:val="0"/>
              </w:rPr>
            </w:r>
          </w:p>
        </w:tc>
      </w:tr>
      <w:tr>
        <w:trPr>
          <w:cantSplit w:val="0"/>
          <w:trHeight w:val="500" w:hRule="atLeast"/>
          <w:tblHeader w:val="0"/>
        </w:trPr>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Language</w:t>
            </w:r>
            <w:r w:rsidDel="00000000" w:rsidR="00000000" w:rsidRPr="00000000">
              <w:rPr>
                <w:rtl w:val="0"/>
              </w:rPr>
            </w:r>
          </w:p>
        </w:tc>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performance and system-level control.</w:t>
            </w:r>
          </w:p>
        </w:tc>
      </w:tr>
      <w:tr>
        <w:trPr>
          <w:cantSplit w:val="0"/>
          <w:trHeight w:val="500" w:hRule="atLeast"/>
          <w:tblHeader w:val="0"/>
        </w:trPr>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Multithreading</w:t>
            </w:r>
            <w:r w:rsidDel="00000000" w:rsidR="00000000" w:rsidRPr="00000000">
              <w:rPr>
                <w:rtl w:val="0"/>
              </w:rPr>
            </w:r>
          </w:p>
        </w:tc>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Makes simulation fast and scalable.</w:t>
            </w:r>
          </w:p>
        </w:tc>
      </w:tr>
      <w:tr>
        <w:trPr>
          <w:cantSplit w:val="0"/>
          <w:trHeight w:val="500" w:hRule="atLeast"/>
          <w:tblHeader w:val="0"/>
        </w:trPr>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Object-Oriented Design</w:t>
            </w:r>
            <w:r w:rsidDel="00000000" w:rsidR="00000000" w:rsidRPr="00000000">
              <w:rPr>
                <w:rtl w:val="0"/>
              </w:rPr>
            </w:r>
          </w:p>
        </w:tc>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Encapsulates logic for reuse and testing.</w:t>
            </w:r>
          </w:p>
        </w:tc>
      </w:tr>
      <w:tr>
        <w:trPr>
          <w:cantSplit w:val="0"/>
          <w:trHeight w:val="500" w:hRule="atLeast"/>
          <w:tblHeader w:val="0"/>
        </w:trPr>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Stateless Threads</w:t>
            </w:r>
            <w:r w:rsidDel="00000000" w:rsidR="00000000" w:rsidRPr="00000000">
              <w:rPr>
                <w:rtl w:val="0"/>
              </w:rPr>
            </w:r>
          </w:p>
        </w:tc>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thread works independently = no race conditions.</w:t>
            </w:r>
          </w:p>
        </w:tc>
      </w:tr>
      <w:tr>
        <w:trPr>
          <w:cantSplit w:val="0"/>
          <w:trHeight w:val="500" w:hRule="atLeast"/>
          <w:tblHeader w:val="0"/>
        </w:trPr>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RNG per thread</w:t>
            </w:r>
            <w:r w:rsidDel="00000000" w:rsidR="00000000" w:rsidRPr="00000000">
              <w:rPr>
                <w:rtl w:val="0"/>
              </w:rPr>
            </w:r>
          </w:p>
        </w:tc>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Prevents identical results across threads.</w:t>
            </w:r>
          </w:p>
        </w:tc>
      </w:tr>
      <w:tr>
        <w:trPr>
          <w:cantSplit w:val="0"/>
          <w:trHeight w:val="500" w:hRule="atLeast"/>
          <w:tblHeader w:val="0"/>
        </w:trPr>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Manual CLI setup</w:t>
            </w:r>
            <w:r w:rsidDel="00000000" w:rsidR="00000000" w:rsidRPr="00000000">
              <w:rPr>
                <w:rtl w:val="0"/>
              </w:rPr>
            </w:r>
          </w:p>
        </w:tc>
        <w:tc>
          <w:tcPr>
            <w:tcBorders>
              <w:top w:color="0b5394" w:space="0" w:sz="4" w:val="single"/>
              <w:left w:color="0b5394" w:space="0" w:sz="4" w:val="single"/>
              <w:bottom w:color="0b5394" w:space="0" w:sz="4" w:val="single"/>
              <w:right w:color="0b5394"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focus on performance and design (can add GUI later).</w:t>
            </w:r>
          </w:p>
        </w:tc>
      </w:tr>
    </w:tbl>
    <w:p w:rsidR="00000000" w:rsidDel="00000000" w:rsidP="00000000" w:rsidRDefault="00000000" w:rsidRPr="00000000" w14:paraId="000000A5">
      <w:pPr>
        <w:pStyle w:val="Heading2"/>
        <w:keepNext w:val="0"/>
        <w:keepLines w:val="0"/>
        <w:spacing w:after="80" w:lineRule="auto"/>
        <w:rPr>
          <w:rFonts w:ascii="Times New Roman" w:cs="Times New Roman" w:eastAsia="Times New Roman" w:hAnsi="Times New Roman"/>
          <w:b w:val="1"/>
          <w:sz w:val="34"/>
          <w:szCs w:val="34"/>
        </w:rPr>
      </w:pPr>
      <w:bookmarkStart w:colFirst="0" w:colLast="0" w:name="_hdsrbw7degpb" w:id="22"/>
      <w:bookmarkEnd w:id="22"/>
      <w:r w:rsidDel="00000000" w:rsidR="00000000" w:rsidRPr="00000000">
        <w:rPr>
          <w:rFonts w:ascii="Times New Roman" w:cs="Times New Roman" w:eastAsia="Times New Roman" w:hAnsi="Times New Roman"/>
          <w:b w:val="1"/>
          <w:sz w:val="34"/>
          <w:szCs w:val="34"/>
          <w:rtl w:val="0"/>
        </w:rPr>
        <w:t xml:space="preserve">5A. Design Patterns Used</w:t>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uses key </w:t>
      </w:r>
      <w:r w:rsidDel="00000000" w:rsidR="00000000" w:rsidRPr="00000000">
        <w:rPr>
          <w:rFonts w:ascii="Times New Roman" w:cs="Times New Roman" w:eastAsia="Times New Roman" w:hAnsi="Times New Roman"/>
          <w:b w:val="1"/>
          <w:rtl w:val="0"/>
        </w:rPr>
        <w:t xml:space="preserve">object-oriented design patterns</w:t>
      </w:r>
      <w:r w:rsidDel="00000000" w:rsidR="00000000" w:rsidRPr="00000000">
        <w:rPr>
          <w:rFonts w:ascii="Times New Roman" w:cs="Times New Roman" w:eastAsia="Times New Roman" w:hAnsi="Times New Roman"/>
          <w:rtl w:val="0"/>
        </w:rPr>
        <w:t xml:space="preserve"> that are simple, but powerful. Each one helps keep the code modular, flexible, and easy to expand later without changing the entire system.</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zkajk66ilbd" w:id="23"/>
      <w:bookmarkEnd w:id="23"/>
      <w:r w:rsidDel="00000000" w:rsidR="00000000" w:rsidRPr="00000000">
        <w:rPr>
          <w:rFonts w:ascii="Times New Roman" w:cs="Times New Roman" w:eastAsia="Times New Roman" w:hAnsi="Times New Roman"/>
          <w:b w:val="1"/>
          <w:color w:val="000000"/>
          <w:sz w:val="26"/>
          <w:szCs w:val="26"/>
          <w:rtl w:val="0"/>
        </w:rPr>
        <w:t xml:space="preserve">1. Factory Pattern (Manual version)</w:t>
      </w:r>
    </w:p>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don’t use a separate factory class, but our OptionPricer constructor behaves like a </w:t>
      </w:r>
      <w:r w:rsidDel="00000000" w:rsidR="00000000" w:rsidRPr="00000000">
        <w:rPr>
          <w:rFonts w:ascii="Times New Roman" w:cs="Times New Roman" w:eastAsia="Times New Roman" w:hAnsi="Times New Roman"/>
          <w:b w:val="1"/>
          <w:rtl w:val="0"/>
        </w:rPr>
        <w:t xml:space="preserve">manual factory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rPr>
          <w:rFonts w:ascii="Times New Roman" w:cs="Times New Roman" w:eastAsia="Times New Roman" w:hAnsi="Times New Roman"/>
        </w:rPr>
      </w:pPr>
      <m:oMath>
        <m:r>
          <w:rPr>
            <w:rFonts w:ascii="Times New Roman" w:cs="Times New Roman" w:eastAsia="Times New Roman" w:hAnsi="Times New Roman"/>
          </w:rPr>
          <m:t xml:space="preserve">OptionPricer(double S, double K, double r, double sigma, double T, OptionType type);</m:t>
        </m:r>
      </m:oMath>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cfkxlmr8hdk" w:id="24"/>
      <w:bookmarkEnd w:id="24"/>
      <w:r w:rsidDel="00000000" w:rsidR="00000000" w:rsidRPr="00000000">
        <w:rPr>
          <w:rFonts w:ascii="Times New Roman" w:cs="Times New Roman" w:eastAsia="Times New Roman" w:hAnsi="Times New Roman"/>
          <w:b w:val="1"/>
          <w:color w:val="000000"/>
          <w:sz w:val="22"/>
          <w:szCs w:val="22"/>
          <w:rtl w:val="0"/>
        </w:rPr>
        <w:t xml:space="preserve">What it means:</w:t>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create different pricing "products" (Call or Put) by just changing the OptionType parameter. This decouples the pricing logic from the input type, which makes your class reusable and configurable.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3mpj6loerpa" w:id="25"/>
      <w:bookmarkEnd w:id="25"/>
      <w:r w:rsidDel="00000000" w:rsidR="00000000" w:rsidRPr="00000000">
        <w:rPr>
          <w:rFonts w:ascii="Times New Roman" w:cs="Times New Roman" w:eastAsia="Times New Roman" w:hAnsi="Times New Roman"/>
          <w:b w:val="1"/>
          <w:color w:val="000000"/>
          <w:sz w:val="26"/>
          <w:szCs w:val="26"/>
          <w:rtl w:val="0"/>
        </w:rPr>
        <w:t xml:space="preserve">2. Strategy Pattern (Future-proofing)</w:t>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now, the engine supports only the </w:t>
      </w:r>
      <w:r w:rsidDel="00000000" w:rsidR="00000000" w:rsidRPr="00000000">
        <w:rPr>
          <w:rFonts w:ascii="Times New Roman" w:cs="Times New Roman" w:eastAsia="Times New Roman" w:hAnsi="Times New Roman"/>
          <w:b w:val="1"/>
          <w:rtl w:val="0"/>
        </w:rPr>
        <w:t xml:space="preserve">Black-Scholes pricing strategy</w:t>
      </w:r>
      <w:r w:rsidDel="00000000" w:rsidR="00000000" w:rsidRPr="00000000">
        <w:rPr>
          <w:rFonts w:ascii="Times New Roman" w:cs="Times New Roman" w:eastAsia="Times New Roman" w:hAnsi="Times New Roman"/>
          <w:rtl w:val="0"/>
        </w:rPr>
        <w:t xml:space="preserve">, but it’s structured in a way that lets you later inject new pricing strategies (like Heston) without changing the rest of the code.</w:t>
      </w:r>
    </w:p>
    <w:p w:rsidR="00000000" w:rsidDel="00000000" w:rsidP="00000000" w:rsidRDefault="00000000" w:rsidRPr="00000000" w14:paraId="000000B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22w2pral9gw" w:id="26"/>
      <w:bookmarkEnd w:id="26"/>
      <w:r w:rsidDel="00000000" w:rsidR="00000000" w:rsidRPr="00000000">
        <w:rPr>
          <w:rFonts w:ascii="Times New Roman" w:cs="Times New Roman" w:eastAsia="Times New Roman" w:hAnsi="Times New Roman"/>
          <w:b w:val="1"/>
          <w:color w:val="000000"/>
          <w:sz w:val="22"/>
          <w:szCs w:val="22"/>
          <w:rtl w:val="0"/>
        </w:rPr>
        <w:t xml:space="preserve">If extended:</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PricingStrategy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double simulate(double S, double K, double r, double sigma, double T) = 0;</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BlackScholes : public PricingStrategy { ...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HestonModel : public PricingStrategy { ...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OptionPricer would take a pointer to a PricingStrategy object and call simulate(). This lets you swap in new logic without touching the engine—this is the Strategy Pattern.</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ne86a22yo4" w:id="27"/>
      <w:bookmarkEnd w:id="27"/>
      <w:r w:rsidDel="00000000" w:rsidR="00000000" w:rsidRPr="00000000">
        <w:rPr>
          <w:rFonts w:ascii="Times New Roman" w:cs="Times New Roman" w:eastAsia="Times New Roman" w:hAnsi="Times New Roman"/>
          <w:b w:val="1"/>
          <w:color w:val="000000"/>
          <w:sz w:val="26"/>
          <w:szCs w:val="26"/>
          <w:rtl w:val="0"/>
        </w:rPr>
        <w:t xml:space="preserve">3. Template Method Pattern</w:t>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price() function acts as a </w:t>
      </w:r>
      <w:r w:rsidDel="00000000" w:rsidR="00000000" w:rsidRPr="00000000">
        <w:rPr>
          <w:rFonts w:ascii="Times New Roman" w:cs="Times New Roman" w:eastAsia="Times New Roman" w:hAnsi="Times New Roman"/>
          <w:b w:val="1"/>
          <w:rtl w:val="0"/>
        </w:rPr>
        <w:t xml:space="preserve">template method</w:t>
      </w:r>
      <w:r w:rsidDel="00000000" w:rsidR="00000000" w:rsidRPr="00000000">
        <w:rPr>
          <w:rFonts w:ascii="Times New Roman" w:cs="Times New Roman" w:eastAsia="Times New Roman" w:hAnsi="Times New Roman"/>
          <w:rtl w:val="0"/>
        </w:rPr>
        <w:t xml:space="preserve">:</w:t>
        <w:br w:type="textWrapping"/>
        <w:t xml:space="preserve"> It defines the skeleton of the simulation process (loop over threads, call simulate_range), but the core logic of the payoff is handled separately in payoff().</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OptionPricer::price(...)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Shared setup logic</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simulate_range(...);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Shared cleanup logic</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separation of control flow and computation details makes it easy to test and update individual parts without breaking others.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pe36pf0ls48" w:id="28"/>
      <w:bookmarkEnd w:id="28"/>
      <w:r w:rsidDel="00000000" w:rsidR="00000000" w:rsidRPr="00000000">
        <w:rPr>
          <w:rFonts w:ascii="Times New Roman" w:cs="Times New Roman" w:eastAsia="Times New Roman" w:hAnsi="Times New Roman"/>
          <w:b w:val="1"/>
          <w:color w:val="000000"/>
          <w:sz w:val="26"/>
          <w:szCs w:val="26"/>
          <w:rtl w:val="0"/>
        </w:rPr>
        <w:t xml:space="preserve">4. Single Responsibility Principle (SRP)</w:t>
      </w:r>
    </w:p>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function and class has </w:t>
      </w:r>
      <w:r w:rsidDel="00000000" w:rsidR="00000000" w:rsidRPr="00000000">
        <w:rPr>
          <w:rFonts w:ascii="Times New Roman" w:cs="Times New Roman" w:eastAsia="Times New Roman" w:hAnsi="Times New Roman"/>
          <w:b w:val="1"/>
          <w:rtl w:val="0"/>
        </w:rPr>
        <w:t xml:space="preserve">one job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OptionPricer: manages simulation config and controls flow</w:t>
      </w:r>
    </w:p>
    <w:p w:rsidR="00000000" w:rsidDel="00000000" w:rsidP="00000000" w:rsidRDefault="00000000" w:rsidRPr="00000000" w14:paraId="000000C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simulate_range: does the simulation work</w:t>
      </w:r>
    </w:p>
    <w:p w:rsidR="00000000" w:rsidDel="00000000" w:rsidP="00000000" w:rsidRDefault="00000000" w:rsidRPr="00000000" w14:paraId="000000CC">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payoff: handles option-specific logic</w:t>
        <w:br w:type="textWrapping"/>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makes your code easier to debug, extend, and reason about—because each part has a clear purpose.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swg272hua8s" w:id="29"/>
      <w:bookmarkEnd w:id="29"/>
      <w:r w:rsidDel="00000000" w:rsidR="00000000" w:rsidRPr="00000000">
        <w:rPr>
          <w:rFonts w:ascii="Times New Roman" w:cs="Times New Roman" w:eastAsia="Times New Roman" w:hAnsi="Times New Roman"/>
          <w:b w:val="1"/>
          <w:color w:val="000000"/>
          <w:sz w:val="26"/>
          <w:szCs w:val="26"/>
          <w:rtl w:val="0"/>
        </w:rPr>
        <w:t xml:space="preserve">5. Thread Pool Potential (Command Pattern upgrade)</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future enhancements, you could refactor the thread launching to use a </w:t>
      </w:r>
      <w:r w:rsidDel="00000000" w:rsidR="00000000" w:rsidRPr="00000000">
        <w:rPr>
          <w:rFonts w:ascii="Times New Roman" w:cs="Times New Roman" w:eastAsia="Times New Roman" w:hAnsi="Times New Roman"/>
          <w:b w:val="1"/>
          <w:rtl w:val="0"/>
        </w:rPr>
        <w:t xml:space="preserve">thread pool</w:t>
      </w:r>
      <w:r w:rsidDel="00000000" w:rsidR="00000000" w:rsidRPr="00000000">
        <w:rPr>
          <w:rFonts w:ascii="Times New Roman" w:cs="Times New Roman" w:eastAsia="Times New Roman" w:hAnsi="Times New Roman"/>
          <w:rtl w:val="0"/>
        </w:rPr>
        <w:t xml:space="preserve">, where each simulation range is packaged into a "task" (command) and executed by a worker.</w:t>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sets you up for the </w:t>
      </w:r>
      <w:r w:rsidDel="00000000" w:rsidR="00000000" w:rsidRPr="00000000">
        <w:rPr>
          <w:rFonts w:ascii="Times New Roman" w:cs="Times New Roman" w:eastAsia="Times New Roman" w:hAnsi="Times New Roman"/>
          <w:b w:val="1"/>
          <w:rtl w:val="0"/>
        </w:rPr>
        <w:t xml:space="preserve">Command Pattern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task is an object.</w:t>
      </w:r>
    </w:p>
    <w:p w:rsidR="00000000" w:rsidDel="00000000" w:rsidP="00000000" w:rsidRDefault="00000000" w:rsidRPr="00000000" w14:paraId="000000D3">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thread takes and executes tasks.</w:t>
        <w:br w:type="textWrapping"/>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would allow for dynamic task scheduling, retries, cancellation, etc.</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rPr>
          <w:rFonts w:ascii="Times New Roman" w:cs="Times New Roman" w:eastAsia="Times New Roman" w:hAnsi="Times New Roman"/>
          <w:b w:val="1"/>
          <w:sz w:val="34"/>
          <w:szCs w:val="34"/>
        </w:rPr>
      </w:pPr>
      <w:bookmarkStart w:colFirst="0" w:colLast="0" w:name="_8s6ctkl4zc6k" w:id="30"/>
      <w:bookmarkEnd w:id="30"/>
      <w:r w:rsidDel="00000000" w:rsidR="00000000" w:rsidRPr="00000000">
        <w:rPr>
          <w:rFonts w:ascii="Times New Roman" w:cs="Times New Roman" w:eastAsia="Times New Roman" w:hAnsi="Times New Roman"/>
          <w:b w:val="1"/>
          <w:sz w:val="34"/>
          <w:szCs w:val="34"/>
          <w:rtl w:val="0"/>
        </w:rPr>
        <w:t xml:space="preserve">Summary Table</w:t>
      </w:r>
    </w:p>
    <w:tbl>
      <w:tblPr>
        <w:tblStyle w:val="Table6"/>
        <w:tblW w:w="8290.0" w:type="dxa"/>
        <w:jc w:val="left"/>
        <w:tblBorders>
          <w:top w:color="0b5394" w:space="0" w:sz="8" w:val="single"/>
          <w:left w:color="0b5394" w:space="0" w:sz="8" w:val="single"/>
          <w:bottom w:color="0b5394" w:space="0" w:sz="8" w:val="single"/>
          <w:right w:color="0b5394" w:space="0" w:sz="8" w:val="single"/>
          <w:insideH w:color="0b5394" w:space="0" w:sz="8" w:val="single"/>
          <w:insideV w:color="0b5394" w:space="0" w:sz="8" w:val="single"/>
        </w:tblBorders>
        <w:tblLayout w:type="fixed"/>
        <w:tblLook w:val="0600"/>
      </w:tblPr>
      <w:tblGrid>
        <w:gridCol w:w="2375"/>
        <w:gridCol w:w="5915"/>
        <w:tblGridChange w:id="0">
          <w:tblGrid>
            <w:gridCol w:w="2375"/>
            <w:gridCol w:w="5915"/>
          </w:tblGrid>
        </w:tblGridChange>
      </w:tblGrid>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Pattern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 Role in Project</w:t>
            </w:r>
            <w:r w:rsidDel="00000000" w:rsidR="00000000" w:rsidRPr="00000000">
              <w:rPr>
                <w:rtl w:val="0"/>
              </w:rPr>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Factory (manual)</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Simplifies creation of pricers for different option types</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Strategy (future)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Makes pricing logic modular and extendable (e.g., Heston)</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Template Method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high-level steps while letting low-level vary</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SRP</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each method/class focused on a single responsibility</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Command (optional)</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be used in future to manage task-based threading</w:t>
            </w:r>
          </w:p>
        </w:tc>
      </w:tr>
    </w:tbl>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ajsdyjxnnht" w:id="31"/>
      <w:bookmarkEnd w:id="31"/>
      <w:r w:rsidDel="00000000" w:rsidR="00000000" w:rsidRPr="00000000">
        <w:rPr>
          <w:rFonts w:ascii="Times New Roman" w:cs="Times New Roman" w:eastAsia="Times New Roman" w:hAnsi="Times New Roman"/>
          <w:b w:val="1"/>
          <w:color w:val="000000"/>
          <w:sz w:val="26"/>
          <w:szCs w:val="26"/>
          <w:rtl w:val="0"/>
        </w:rPr>
        <w:t xml:space="preserve">Design Justifications</w:t>
      </w:r>
    </w:p>
    <w:tbl>
      <w:tblPr>
        <w:tblStyle w:val="Table7"/>
        <w:tblW w:w="9220.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2735"/>
        <w:gridCol w:w="6485"/>
        <w:tblGridChange w:id="0">
          <w:tblGrid>
            <w:gridCol w:w="2735"/>
            <w:gridCol w:w="6485"/>
          </w:tblGrid>
        </w:tblGridChange>
      </w:tblGrid>
      <w:tr>
        <w:trPr>
          <w:cantSplit w:val="0"/>
          <w:trHeight w:val="500" w:hRule="atLeast"/>
          <w:tblHeader w:val="0"/>
        </w:trPr>
        <w:tc>
          <w:tcPr>
            <w:tcBorders>
              <w:top w:color="073763" w:space="0" w:sz="8" w:val="single"/>
              <w:left w:color="073763" w:space="0" w:sz="8" w:val="single"/>
              <w:bottom w:color="073763" w:space="0" w:sz="8" w:val="single"/>
              <w:right w:color="07376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 Element</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Justification</w:t>
            </w:r>
            <w:r w:rsidDel="00000000" w:rsidR="00000000" w:rsidRPr="00000000">
              <w:rPr>
                <w:rtl w:val="0"/>
              </w:rPr>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Thread-local RNGs</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Reduces latency and eliminates contention from shared random sources.</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Preallocation</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Avoids performance hits from heap allocation during simulations.</w:t>
            </w:r>
          </w:p>
        </w:tc>
      </w:tr>
      <w:tr>
        <w:trPr>
          <w:cantSplit w:val="0"/>
          <w:trHeight w:val="500" w:hRule="atLeast"/>
          <w:tblHeader w:val="0"/>
        </w:trPr>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Retry Mechanism</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resilience in environments with numerical edge cases.</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Fallback Engine</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system reliability by preventing total failure on partial thread errors.</w:t>
            </w:r>
          </w:p>
        </w:tc>
      </w:tr>
      <w:tr>
        <w:trPr>
          <w:cantSplit w:val="0"/>
          <w:trHeight w:val="770" w:hRule="atLeast"/>
          <w:tblHeader w:val="0"/>
        </w:trPr>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Centralized Error Logging</w:t>
            </w: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post-analysis and supports profiling in production systems.</w:t>
            </w:r>
          </w:p>
        </w:tc>
      </w:tr>
    </w:tbl>
    <w:p w:rsidR="00000000" w:rsidDel="00000000" w:rsidP="00000000" w:rsidRDefault="00000000" w:rsidRPr="00000000" w14:paraId="000000F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4ogkbidy97l" w:id="32"/>
      <w:bookmarkEnd w:id="32"/>
      <w:r w:rsidDel="00000000" w:rsidR="00000000" w:rsidRPr="00000000">
        <w:rPr>
          <w:rFonts w:ascii="Times New Roman" w:cs="Times New Roman" w:eastAsia="Times New Roman" w:hAnsi="Times New Roman"/>
          <w:b w:val="1"/>
          <w:color w:val="000000"/>
          <w:sz w:val="26"/>
          <w:szCs w:val="26"/>
          <w:rtl w:val="0"/>
        </w:rPr>
        <w:t xml:space="preserve">Resilience and Performance Alignment</w:t>
      </w:r>
    </w:p>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sequence aligns with real-world quant engineering constraints:</w:t>
      </w:r>
    </w:p>
    <w:p w:rsidR="00000000" w:rsidDel="00000000" w:rsidP="00000000" w:rsidRDefault="00000000" w:rsidRPr="00000000" w14:paraId="000000F5">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Low-latency design</w:t>
      </w:r>
      <w:r w:rsidDel="00000000" w:rsidR="00000000" w:rsidRPr="00000000">
        <w:rPr>
          <w:rFonts w:ascii="Times New Roman" w:cs="Times New Roman" w:eastAsia="Times New Roman" w:hAnsi="Times New Roman"/>
          <w:rtl w:val="0"/>
        </w:rPr>
        <w:t xml:space="preserve"> via preallocated memory and concurrent threading.</w:t>
      </w:r>
    </w:p>
    <w:p w:rsidR="00000000" w:rsidDel="00000000" w:rsidP="00000000" w:rsidRDefault="00000000" w:rsidRPr="00000000" w14:paraId="000000F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Fail-safe simulation</w:t>
      </w:r>
      <w:r w:rsidDel="00000000" w:rsidR="00000000" w:rsidRPr="00000000">
        <w:rPr>
          <w:rFonts w:ascii="Times New Roman" w:cs="Times New Roman" w:eastAsia="Times New Roman" w:hAnsi="Times New Roman"/>
          <w:rtl w:val="0"/>
        </w:rPr>
        <w:t xml:space="preserve"> under rare but possible numeric or memory faults.</w:t>
      </w:r>
    </w:p>
    <w:p w:rsidR="00000000" w:rsidDel="00000000" w:rsidP="00000000" w:rsidRDefault="00000000" w:rsidRPr="00000000" w14:paraId="000000F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Auditability</w:t>
      </w:r>
      <w:r w:rsidDel="00000000" w:rsidR="00000000" w:rsidRPr="00000000">
        <w:rPr>
          <w:rFonts w:ascii="Times New Roman" w:cs="Times New Roman" w:eastAsia="Times New Roman" w:hAnsi="Times New Roman"/>
          <w:rtl w:val="0"/>
        </w:rPr>
        <w:t xml:space="preserve"> through error logging and retry visibility.</w:t>
      </w:r>
    </w:p>
    <w:p w:rsidR="00000000" w:rsidDel="00000000" w:rsidP="00000000" w:rsidRDefault="00000000" w:rsidRPr="00000000" w14:paraId="000000F8">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Maintainability</w:t>
      </w:r>
      <w:r w:rsidDel="00000000" w:rsidR="00000000" w:rsidRPr="00000000">
        <w:rPr>
          <w:rFonts w:ascii="Times New Roman" w:cs="Times New Roman" w:eastAsia="Times New Roman" w:hAnsi="Times New Roman"/>
          <w:rtl w:val="0"/>
        </w:rPr>
        <w:t xml:space="preserve"> via clear separation of concerns and extension points.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rFonts w:ascii="Times New Roman" w:cs="Times New Roman" w:eastAsia="Times New Roman" w:hAnsi="Times New Roman"/>
          <w:b w:val="1"/>
          <w:sz w:val="34"/>
          <w:szCs w:val="34"/>
        </w:rPr>
      </w:pPr>
      <w:bookmarkStart w:colFirst="0" w:colLast="0" w:name="_bk1eued0woc4" w:id="33"/>
      <w:bookmarkEnd w:id="33"/>
      <w:r w:rsidDel="00000000" w:rsidR="00000000" w:rsidRPr="00000000">
        <w:rPr>
          <w:rFonts w:ascii="Times New Roman" w:cs="Times New Roman" w:eastAsia="Times New Roman" w:hAnsi="Times New Roman"/>
          <w:b w:val="1"/>
          <w:sz w:val="34"/>
          <w:szCs w:val="34"/>
          <w:rtl w:val="0"/>
        </w:rPr>
        <w:t xml:space="preserve">6. Multithreading Strategy</w:t>
      </w:r>
    </w:p>
    <w:p w:rsidR="00000000" w:rsidDel="00000000" w:rsidP="00000000" w:rsidRDefault="00000000" w:rsidRPr="00000000" w14:paraId="000000FC">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std::thread to parallelize simulation.</w:t>
      </w:r>
    </w:p>
    <w:p w:rsidR="00000000" w:rsidDel="00000000" w:rsidP="00000000" w:rsidRDefault="00000000" w:rsidRPr="00000000" w14:paraId="000000F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simulations divided equally across threads.</w:t>
      </w:r>
    </w:p>
    <w:p w:rsidR="00000000" w:rsidDel="00000000" w:rsidP="00000000" w:rsidRDefault="00000000" w:rsidRPr="00000000" w14:paraId="000000F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thread uses its own RNG instance.</w:t>
      </w:r>
    </w:p>
    <w:p w:rsidR="00000000" w:rsidDel="00000000" w:rsidP="00000000" w:rsidRDefault="00000000" w:rsidRPr="00000000" w14:paraId="000000F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result is the discounted average of all thread-level payoff sums.</w:t>
      </w:r>
    </w:p>
    <w:p w:rsidR="00000000" w:rsidDel="00000000" w:rsidP="00000000" w:rsidRDefault="00000000" w:rsidRPr="00000000" w14:paraId="00000100">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Thread-safe because each thread writes only to its own memory slot.</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frozon64nqnx" w:id="34"/>
      <w:bookmarkEnd w:id="34"/>
      <w:r w:rsidDel="00000000" w:rsidR="00000000" w:rsidRPr="00000000">
        <w:rPr>
          <w:rFonts w:ascii="Times New Roman" w:cs="Times New Roman" w:eastAsia="Times New Roman" w:hAnsi="Times New Roman"/>
          <w:b w:val="1"/>
          <w:sz w:val="34"/>
          <w:szCs w:val="34"/>
          <w:rtl w:val="0"/>
        </w:rPr>
        <w:t xml:space="preserve">9. Future Enhancements</w:t>
      </w:r>
    </w:p>
    <w:tbl>
      <w:tblPr>
        <w:tblStyle w:val="Table8"/>
        <w:tblW w:w="7825.0" w:type="dxa"/>
        <w:jc w:val="left"/>
        <w:tblBorders>
          <w:top w:color="0b5394" w:space="0" w:sz="8" w:val="single"/>
          <w:left w:color="0b5394" w:space="0" w:sz="8" w:val="single"/>
          <w:bottom w:color="0b5394" w:space="0" w:sz="8" w:val="single"/>
          <w:right w:color="0b5394" w:space="0" w:sz="8" w:val="single"/>
          <w:insideH w:color="0b5394" w:space="0" w:sz="8" w:val="single"/>
          <w:insideV w:color="0b5394" w:space="0" w:sz="8" w:val="single"/>
        </w:tblBorders>
        <w:tblLayout w:type="fixed"/>
        <w:tblLook w:val="0600"/>
      </w:tblPr>
      <w:tblGrid>
        <w:gridCol w:w="2855"/>
        <w:gridCol w:w="4970"/>
        <w:tblGridChange w:id="0">
          <w:tblGrid>
            <w:gridCol w:w="2855"/>
            <w:gridCol w:w="4970"/>
          </w:tblGrid>
        </w:tblGridChange>
      </w:tblGrid>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Greeks Calculation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Delta, Gamma, Vega using finite differences</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Heston Model</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stochastic volatility</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Path-dependent Options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 barrier, and lookback support</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Command-Line Interface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argument parsing</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 Tests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GoogleTest for regression checks</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Benchmarking</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performance impact of thread scaling</w:t>
            </w:r>
          </w:p>
        </w:tc>
      </w:tr>
      <w:tr>
        <w:trPr>
          <w:cantSplit w:val="0"/>
          <w:trHeight w:val="500" w:hRule="atLeast"/>
          <w:tblHeader w:val="0"/>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Visualization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CSVs and plot payoffs</w:t>
            </w:r>
          </w:p>
        </w:tc>
      </w:tr>
    </w:tbl>
    <w:p w:rsidR="00000000" w:rsidDel="00000000" w:rsidP="00000000" w:rsidRDefault="00000000" w:rsidRPr="00000000" w14:paraId="0000011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rFonts w:ascii="Times New Roman" w:cs="Times New Roman" w:eastAsia="Times New Roman" w:hAnsi="Times New Roman"/>
          <w:b w:val="1"/>
          <w:sz w:val="34"/>
          <w:szCs w:val="34"/>
        </w:rPr>
      </w:pPr>
      <w:bookmarkStart w:colFirst="0" w:colLast="0" w:name="_5gu9yh1smif9" w:id="35"/>
      <w:bookmarkEnd w:id="35"/>
      <w:r w:rsidDel="00000000" w:rsidR="00000000" w:rsidRPr="00000000">
        <w:rPr>
          <w:rFonts w:ascii="Times New Roman" w:cs="Times New Roman" w:eastAsia="Times New Roman" w:hAnsi="Times New Roman"/>
          <w:b w:val="1"/>
          <w:sz w:val="34"/>
          <w:szCs w:val="34"/>
          <w:rtl w:val="0"/>
        </w:rPr>
        <w:t xml:space="preserve">10. Conclusion</w:t>
      </w:r>
    </w:p>
    <w:p w:rsidR="00000000" w:rsidDel="00000000" w:rsidP="00000000" w:rsidRDefault="00000000" w:rsidRPr="00000000" w14:paraId="000001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engine is a high-performance simulation built to demonstrate:</w:t>
      </w:r>
    </w:p>
    <w:p w:rsidR="00000000" w:rsidDel="00000000" w:rsidP="00000000" w:rsidRDefault="00000000" w:rsidRPr="00000000" w14:paraId="0000011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engine demonstrates mastery of C++, OOP principles, high-performance computing, and quant modeling techniques. It is extensible, fault-tolerant, and engineered to simulate real-world financial scenarios reliably and efficiently.</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