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drawing>
          <wp:inline distT="0" distB="0" distL="0" distR="0">
            <wp:extent cx="222885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28850" cy="1257300"/>
                    </a:xfrm>
                    <a:prstGeom prst="rect">
                      <a:avLst/>
                    </a:prstGeom>
                  </pic:spPr>
                </pic:pic>
              </a:graphicData>
            </a:graphic>
          </wp:inline>
        </w:drawing>
      </w:r>
    </w:p>
    <w:p>
      <w:pPr>
        <w:spacing w:after="800" w:before="100"/>
        <w:jc w:val="center"/>
      </w:pPr>
      <w:r>
        <w:rPr>
          <w:i/>
          <w:iCs/>
          <w:color w:val="595959"/>
          <w:sz w:val="22"/>
          <w:szCs w:val="22"/>
        </w:rPr>
        <w:t xml:space="preserve">Conseil et ingénierie logicielle</w:t>
      </w:r>
    </w:p>
    <w:p>
      <w:pPr>
        <w:spacing w:after="200" w:before="1200"/>
        <w:jc w:val="center"/>
      </w:pPr>
      <w:r>
        <w:rPr>
          <w:b/>
          <w:bCs/>
          <w:color w:val="1F3864"/>
          <w:sz w:val="34"/>
          <w:szCs w:val="34"/>
        </w:rPr>
        <w:t xml:space="preserve">CONTRAT DE PRESTATION DE SERVICES</w:t>
      </w:r>
    </w:p>
    <w:p>
      <w:pPr>
        <w:spacing w:after="200"/>
        <w:jc w:val="center"/>
      </w:pPr>
      <w:r>
        <w:rPr>
          <w:color w:val="595959"/>
          <w:sz w:val="24"/>
          <w:szCs w:val="24"/>
        </w:rPr>
        <w:t xml:space="preserve">(Conditions Particulières — Bon de Commande)</w:t>
      </w:r>
    </w:p>
    <w:p>
      <w:pPr>
        <w:spacing w:after="100"/>
        <w:jc w:val="center"/>
      </w:pPr>
      <w:r>
        <w:rPr>
          <w:b/>
          <w:bCs/>
          <w:sz w:val="26"/>
          <w:szCs w:val="26"/>
        </w:rPr>
        <w:t xml:space="preserve">Phase 1 — Module Shipping (MVP)</w:t>
      </w:r>
    </w:p>
    <w:p>
      <w:pPr>
        <w:spacing w:after="600"/>
        <w:jc w:val="center"/>
      </w:pPr>
      <w:r>
        <w:rPr>
          <w:b/>
          <w:bCs/>
          <w:sz w:val="26"/>
          <w:szCs w:val="26"/>
        </w:rPr>
        <w:t xml:space="preserve">étendue au Site Vitrine (version simplifiée) avec tracking public</w:t>
      </w:r>
    </w:p>
    <w:p>
      <w:pPr>
        <w:spacing w:after="60" w:before="800"/>
        <w:jc w:val="center"/>
      </w:pPr>
      <w:r>
        <w:rPr>
          <w:sz w:val="22"/>
          <w:szCs w:val="22"/>
        </w:rPr>
        <w:t xml:space="preserve">Préparé pour</w:t>
      </w:r>
    </w:p>
    <w:p>
      <w:pPr>
        <w:spacing w:after="400"/>
        <w:jc w:val="center"/>
      </w:pPr>
      <w:r>
        <w:rPr>
          <w:b/>
          <w:bCs/>
          <w:color w:val="1F3864"/>
          <w:sz w:val="30"/>
          <w:szCs w:val="30"/>
        </w:rPr>
        <w:t xml:space="preserve">KS EXPRESS SERVICE</w:t>
      </w:r>
    </w:p>
    <w:p>
      <w:pPr>
        <w:spacing w:after="60"/>
        <w:jc w:val="center"/>
      </w:pPr>
      <w:r>
        <w:rPr>
          <w:color w:val="595959"/>
          <w:sz w:val="20"/>
          <w:szCs w:val="20"/>
        </w:rPr>
        <w:t xml:space="preserve">HAÏTI · USA</w:t>
      </w:r>
    </w:p>
    <w:p>
      <w:pPr>
        <w:spacing w:after="40" w:before="900"/>
        <w:jc w:val="center"/>
      </w:pPr>
      <w:r>
        <w:rPr>
          <w:sz w:val="20"/>
          <w:szCs w:val="20"/>
        </w:rPr>
        <w:t xml:space="preserve">Référence : NEX-KSE-2026-002</w:t>
      </w:r>
    </w:p>
    <w:p>
      <w:pPr>
        <w:spacing w:after="40"/>
        <w:jc w:val="center"/>
      </w:pPr>
      <w:r>
        <w:rPr>
          <w:sz w:val="20"/>
          <w:szCs w:val="20"/>
        </w:rPr>
        <w:t xml:space="preserve">Document lié au Devis Professionnel NEX-KSE-2026-001 et au Cahier des Charges v1.0</w:t>
      </w:r>
    </w:p>
    <w:p>
      <w:pPr>
        <w:spacing w:after="40"/>
        <w:jc w:val="center"/>
      </w:pPr>
      <w:r>
        <w:rPr>
          <w:sz w:val="20"/>
          <w:szCs w:val="20"/>
        </w:rPr>
        <w:t xml:space="preserve">Date : 13 juillet 2026</w:t>
      </w:r>
    </w:p>
    <w:p>
      <w:pPr>
        <w:spacing w:after="900"/>
        <w:jc w:val="center"/>
      </w:pPr>
      <w:r>
        <w:rPr>
          <w:sz w:val="20"/>
          <w:szCs w:val="20"/>
        </w:rPr>
        <w:t xml:space="preserve">Version 1.0</w:t>
      </w:r>
    </w:p>
    <w:p>
      <w:pPr>
        <w:jc w:val="center"/>
      </w:pPr>
      <w:r>
        <w:rPr>
          <w:i/>
          <w:iCs/>
          <w:color w:val="595959"/>
          <w:sz w:val="18"/>
          <w:szCs w:val="18"/>
        </w:rPr>
        <w:t xml:space="preserve">Document strictement confidentiel</w:t>
      </w:r>
    </w:p>
    <w:p>
      <w:r>
        <w:br w:type="page"/>
      </w:r>
    </w:p>
    <w:p>
      <w:pPr>
        <w:sectPr>
          <w:pgSz w:w="11906" w:h="16838" w:orient="portrait"/>
          <w:pgMar w:top="1440" w:right="1440" w:bottom="1440" w:left="1440" w:header="708" w:footer="708" w:gutter="0"/>
          <w:pgNumType/>
          <w:docGrid w:linePitch="360"/>
        </w:sectPr>
      </w:pPr>
    </w:p>
    <w:p>
      <w:pPr>
        <w:spacing w:after="160" w:line="276"/>
      </w:pPr>
      <w:r>
        <w:rPr>
          <w:b/>
          <w:bCs/>
          <w:sz w:val="21"/>
          <w:szCs w:val="21"/>
        </w:rPr>
        <w:t xml:space="preserve">Entre les soussignés :</w:t>
      </w:r>
    </w:p>
    <w:p>
      <w:pPr>
        <w:spacing w:after="160" w:line="276"/>
      </w:pPr>
      <w:r>
        <w:rPr>
          <w:b/>
          <w:bCs/>
          <w:sz w:val="21"/>
          <w:szCs w:val="21"/>
        </w:rPr>
        <w:t xml:space="preserve">NEXORIS</w:t>
      </w:r>
      <w:r>
        <w:rPr>
          <w:sz w:val="21"/>
          <w:szCs w:val="21"/>
        </w:rPr>
        <w:t xml:space="preserve">, [forme juridique à préciser], immatriculée sous le numéro [numéro d'immatriculation / NIF à préciser], dont le siège est situé à [adresse à préciser], représentée aux fins des présentes par [Nom du représentant], en qualité de [fonction],</w:t>
      </w:r>
      <w:r>
        <w:rPr>
          <w:i/>
          <w:iCs/>
          <w:sz w:val="21"/>
          <w:szCs w:val="21"/>
        </w:rPr>
        <w:t xml:space="preserve">  ci-après dénommée « le Prestataire » ;</w:t>
      </w:r>
    </w:p>
    <w:p>
      <w:pPr>
        <w:spacing w:after="160" w:line="276"/>
      </w:pPr>
      <w:r>
        <w:rPr>
          <w:sz w:val="21"/>
          <w:szCs w:val="21"/>
        </w:rPr>
        <w:t xml:space="preserve">d'une part,</w:t>
      </w:r>
    </w:p>
    <w:p>
      <w:pPr>
        <w:spacing w:after="160" w:line="276"/>
      </w:pPr>
      <w:r>
        <w:rPr>
          <w:b/>
          <w:bCs/>
          <w:sz w:val="21"/>
          <w:szCs w:val="21"/>
        </w:rPr>
        <w:t xml:space="preserve">ET</w:t>
      </w:r>
    </w:p>
    <w:p>
      <w:pPr>
        <w:spacing w:after="160" w:line="276"/>
      </w:pPr>
      <w:r>
        <w:rPr>
          <w:b/>
          <w:bCs/>
          <w:sz w:val="21"/>
          <w:szCs w:val="21"/>
        </w:rPr>
        <w:t xml:space="preserve">KS EXPRESS SERVICE</w:t>
      </w:r>
      <w:r>
        <w:rPr>
          <w:sz w:val="21"/>
          <w:szCs w:val="21"/>
        </w:rPr>
        <w:t xml:space="preserve">, [forme juridique à préciser], immatriculée sous le numéro [numéro d'immatriculation / NIF à préciser], dont le siège est situé à [adresse à préciser], représentée aux fins des présentes par [Nom du représentant], en qualité de [fonction],</w:t>
      </w:r>
      <w:r>
        <w:rPr>
          <w:i/>
          <w:iCs/>
          <w:sz w:val="21"/>
          <w:szCs w:val="21"/>
        </w:rPr>
        <w:t xml:space="preserve">  ci-après dénommée « le Client » ;</w:t>
      </w:r>
    </w:p>
    <w:p>
      <w:pPr>
        <w:spacing w:after="160" w:line="276"/>
      </w:pPr>
      <w:r>
        <w:rPr>
          <w:sz w:val="21"/>
          <w:szCs w:val="21"/>
        </w:rPr>
        <w:t xml:space="preserve">d'autre part,</w:t>
      </w:r>
    </w:p>
    <w:p>
      <w:pPr>
        <w:spacing w:after="160" w:line="276"/>
      </w:pPr>
      <w:r>
        <w:rPr>
          <w:sz w:val="21"/>
          <w:szCs w:val="21"/>
        </w:rPr>
        <w:t xml:space="preserve">ci-après désignés ensemble « les Parties ».</w:t>
      </w:r>
    </w:p>
    <w:p>
      <w:pPr>
        <w:spacing w:after="200" w:before="200"/>
      </w:pPr>
      <w:r>
        <w:rPr>
          <w:b/>
          <w:bCs/>
          <w:color w:val="1F3864"/>
          <w:sz w:val="22"/>
          <w:szCs w:val="22"/>
        </w:rPr>
        <w:t xml:space="preserve">IL A ÉTÉ PRÉALABLEMENT EXPOSÉ CE QUI SUIT :</w:t>
      </w:r>
    </w:p>
    <w:p>
      <w:pPr>
        <w:spacing w:after="160" w:line="276"/>
      </w:pPr>
      <w:r>
        <w:rPr>
          <w:sz w:val="21"/>
          <w:szCs w:val="21"/>
        </w:rPr>
        <w:t xml:space="preserve">Le Prestataire a remis au Client une Proposition Commerciale (v1.0, juillet 2026), un Cahier des Charges Fonctionnel et Technique (v1.0, juillet 2026) et un Devis Professionnel réf. NEX-KSE-2026-001 (v1.0, juillet 2026) portant sur la conception, le développement et la mise en production d'une Plateforme de Gestion Intégrée pour le Client.</w:t>
      </w:r>
    </w:p>
    <w:p>
      <w:pPr>
        <w:spacing w:after="160" w:line="276"/>
      </w:pPr>
      <w:r>
        <w:rPr>
          <w:sz w:val="21"/>
          <w:szCs w:val="21"/>
        </w:rPr>
        <w:t xml:space="preserve">Le Devis Professionnel prévoyait initialement la Phase 1 — Shipping (MVP) pour un montant de 1 550 USD, le module Site Web et Boutique étant, quant à lui, prévu à la Phase 3 dudit devis (Phase 4 du Cahier des Charges).</w:t>
      </w:r>
    </w:p>
    <w:p>
      <w:pPr>
        <w:spacing w:after="160" w:line="276"/>
      </w:pPr>
      <w:r>
        <w:rPr>
          <w:sz w:val="21"/>
          <w:szCs w:val="21"/>
        </w:rPr>
        <w:t xml:space="preserve">À la demande du Client, et afin de lui permettre de disposer d'une présence en ligne dès le lancement de son activité digitalisée, les Parties conviennent d'anticiper et d'intégrer à la Phase 1 un périmètre réduit du module Site Vitrine, sans en attendre la phase ultérieure, moyennant les conditions financières particulières définies au présent contrat.</w:t>
      </w:r>
    </w:p>
    <w:p>
      <w:pPr>
        <w:spacing w:after="160" w:line="276"/>
      </w:pPr>
      <w:r>
        <w:rPr>
          <w:sz w:val="21"/>
          <w:szCs w:val="21"/>
        </w:rPr>
        <w:t xml:space="preserve">EN CONSÉQUENCE DE QUOI, IL A ÉTÉ CONVENU CE QUI SUIT :</w:t>
      </w:r>
    </w:p>
    <w:p>
      <w:pPr>
        <w:pStyle w:val="Heading1"/>
        <w:pBdr>
          <w:bottom w:val="single" w:color="1F3864" w:sz="6" w:space="4"/>
        </w:pBdr>
        <w:spacing w:after="200" w:before="400"/>
      </w:pPr>
      <w:r>
        <w:rPr>
          <w:b/>
          <w:bCs/>
          <w:color w:val="1F3864"/>
          <w:sz w:val="26"/>
          <w:szCs w:val="26"/>
        </w:rPr>
        <w:t xml:space="preserve">Article 1 — Objet du contrat</w:t>
      </w:r>
    </w:p>
    <w:p>
      <w:pPr>
        <w:spacing w:after="160" w:line="276"/>
      </w:pPr>
      <w:r>
        <w:rPr>
          <w:sz w:val="21"/>
          <w:szCs w:val="21"/>
        </w:rPr>
        <w:t xml:space="preserve">Le présent contrat (ci-après le « Contrat ») a pour objet de définir les conditions particulières de réalisation, par le Prestataire au bénéfice du Client, d'un périmètre combiné constitué :</w:t>
      </w:r>
    </w:p>
    <w:p>
      <w:pPr>
        <w:pStyle w:val="ListParagraph"/>
        <w:numPr>
          <w:ilvl w:val="0"/>
          <w:numId w:val="2"/>
        </w:numPr>
        <w:spacing w:after="90" w:line="270"/>
      </w:pPr>
      <w:r>
        <w:rPr>
          <w:sz w:val="21"/>
          <w:szCs w:val="21"/>
        </w:rPr>
        <w:t xml:space="preserve">de l'intégralité de la Phase 1 — Shipping (MVP) telle que décrite au Devis Professionnel NEX-KSE-2026-001 et détaillée au Cahier des Charges v1.0 ;</w:t>
      </w:r>
    </w:p>
    <w:p>
      <w:pPr>
        <w:pStyle w:val="ListParagraph"/>
        <w:numPr>
          <w:ilvl w:val="0"/>
          <w:numId w:val="2"/>
        </w:numPr>
        <w:spacing w:after="90" w:line="270"/>
      </w:pPr>
      <w:r>
        <w:rPr>
          <w:sz w:val="21"/>
          <w:szCs w:val="21"/>
        </w:rPr>
        <w:t xml:space="preserve">d'un périmètre réduit du module Site Vitrine (« Site Vitrine — version simplifiée »), défini à l'Article 3.2 ci-après, normalement rattaché à une phase ultérieure.</w:t>
      </w:r>
    </w:p>
    <w:p>
      <w:pPr>
        <w:spacing w:after="160" w:line="276"/>
      </w:pPr>
      <w:r>
        <w:rPr>
          <w:sz w:val="21"/>
          <w:szCs w:val="21"/>
        </w:rPr>
        <w:t xml:space="preserve">Le présent Contrat vaut acceptation, par le Client, du Devis Professionnel NEX-KSE-2026-001 pour sa Phase 1, telle que modifiée et complétée par les présentes conditions particulières (extension de périmètre et remise commerciale).</w:t>
      </w:r>
    </w:p>
    <w:p>
      <w:pPr>
        <w:pStyle w:val="Heading1"/>
        <w:pBdr>
          <w:bottom w:val="single" w:color="1F3864" w:sz="6" w:space="4"/>
        </w:pBdr>
        <w:spacing w:after="200" w:before="400"/>
      </w:pPr>
      <w:r>
        <w:rPr>
          <w:b/>
          <w:bCs/>
          <w:color w:val="1F3864"/>
          <w:sz w:val="26"/>
          <w:szCs w:val="26"/>
        </w:rPr>
        <w:t xml:space="preserve">Article 2 — Documents contractuels</w:t>
      </w:r>
    </w:p>
    <w:p>
      <w:pPr>
        <w:spacing w:after="160" w:line="276"/>
      </w:pPr>
      <w:r>
        <w:rPr>
          <w:sz w:val="21"/>
          <w:szCs w:val="21"/>
        </w:rPr>
        <w:t xml:space="preserve">Le présent Contrat s'inscrit dans le prolongement des documents suivants, qui en font partie intégrante :</w:t>
      </w:r>
    </w:p>
    <w:p>
      <w:pPr>
        <w:pStyle w:val="ListParagraph"/>
        <w:numPr>
          <w:ilvl w:val="0"/>
          <w:numId w:val="2"/>
        </w:numPr>
        <w:spacing w:after="90" w:line="270"/>
      </w:pPr>
      <w:r>
        <w:rPr>
          <w:sz w:val="21"/>
          <w:szCs w:val="21"/>
        </w:rPr>
        <w:t xml:space="preserve">Cahier des Charges Fonctionnel et Technique — Nexoris, v1.0, 5 juillet 2026 ;</w:t>
      </w:r>
    </w:p>
    <w:p>
      <w:pPr>
        <w:pStyle w:val="ListParagraph"/>
        <w:numPr>
          <w:ilvl w:val="0"/>
          <w:numId w:val="2"/>
        </w:numPr>
        <w:spacing w:after="90" w:line="270"/>
      </w:pPr>
      <w:r>
        <w:rPr>
          <w:sz w:val="21"/>
          <w:szCs w:val="21"/>
        </w:rPr>
        <w:t xml:space="preserve">Devis Professionnel NEX-KSE-2026-001 — Nexoris, v1.0, 5 juillet 2026 ;</w:t>
      </w:r>
    </w:p>
    <w:p>
      <w:pPr>
        <w:pStyle w:val="ListParagraph"/>
        <w:numPr>
          <w:ilvl w:val="0"/>
          <w:numId w:val="2"/>
        </w:numPr>
        <w:spacing w:after="90" w:line="270"/>
      </w:pPr>
      <w:r>
        <w:rPr>
          <w:sz w:val="21"/>
          <w:szCs w:val="21"/>
        </w:rPr>
        <w:t xml:space="preserve">Proposition Commerciale Premium — Nexoris, v1.0, 5 juillet 2026 ;</w:t>
      </w:r>
    </w:p>
    <w:p>
      <w:pPr>
        <w:pStyle w:val="ListParagraph"/>
        <w:numPr>
          <w:ilvl w:val="0"/>
          <w:numId w:val="2"/>
        </w:numPr>
        <w:spacing w:after="90" w:line="270"/>
      </w:pPr>
      <w:r>
        <w:rPr>
          <w:sz w:val="21"/>
          <w:szCs w:val="21"/>
        </w:rPr>
        <w:t xml:space="preserve">le présent Contrat (conditions particulières).</w:t>
      </w:r>
    </w:p>
    <w:p>
      <w:pPr>
        <w:spacing w:after="160" w:line="276"/>
      </w:pPr>
      <w:r>
        <w:rPr>
          <w:sz w:val="21"/>
          <w:szCs w:val="21"/>
        </w:rPr>
        <w:t xml:space="preserve">En cas de contradiction entre ces documents, le présent Contrat prévaut sur le Devis Professionnel, qui prévaut lui-même sur le Cahier des Charges, pour les seuls points expressément modifiés par les présentes. Pour tout point non modifié, le Cahier des Charges et le Devis Professionnel demeurent applicables dans leur intégralité, notamment leurs conditions générales (section 7 du Devis).</w:t>
      </w:r>
    </w:p>
    <w:p>
      <w:pPr>
        <w:pStyle w:val="Heading1"/>
        <w:pBdr>
          <w:bottom w:val="single" w:color="1F3864" w:sz="6" w:space="4"/>
        </w:pBdr>
        <w:spacing w:after="200" w:before="400"/>
      </w:pPr>
      <w:r>
        <w:rPr>
          <w:b/>
          <w:bCs/>
          <w:color w:val="1F3864"/>
          <w:sz w:val="26"/>
          <w:szCs w:val="26"/>
        </w:rPr>
        <w:t xml:space="preserve">Article 3 — Périmètre de la prestation</w:t>
      </w:r>
    </w:p>
    <w:p>
      <w:pPr>
        <w:spacing w:after="100" w:before="200"/>
      </w:pPr>
      <w:r>
        <w:rPr>
          <w:b/>
          <w:bCs/>
          <w:color w:val="1F3864"/>
          <w:sz w:val="22"/>
          <w:szCs w:val="22"/>
        </w:rPr>
        <w:t xml:space="preserve">3.1 — Phase 1 : Shipping (MVP)</w:t>
      </w:r>
    </w:p>
    <w:p>
      <w:pPr>
        <w:spacing w:after="160" w:line="276"/>
      </w:pPr>
      <w:r>
        <w:rPr>
          <w:sz w:val="21"/>
          <w:szCs w:val="21"/>
        </w:rPr>
        <w:t xml:space="preserve">Le Prestataire réalise l'intégralité du périmètre de la Phase 1 tel que décrit à la section 3 du Devis Professionnel NEX-KSE-2026-001 et détaillé au Cahier des Charges v1.0 (modules AUT, CLI, SHP, NOT, ADM et REP dans leur portée Phase 1), sans réduction, à savoir notamment : socle technique et authentification, référentiel clients et codes KSE, moteur d'import automatique des emails de livraison (n8n), import automatique des transferts Zelle et rapprochement client, cycle de vie complet des colis (statuts, lots, scan, labels, photos), tarification et encaissement, portail client et notifications Email / WhatsApp.</w:t>
      </w:r>
    </w:p>
    <w:p>
      <w:pPr>
        <w:spacing w:after="100" w:before="200"/>
      </w:pPr>
      <w:r>
        <w:rPr>
          <w:b/>
          <w:bCs/>
          <w:color w:val="1F3864"/>
          <w:sz w:val="22"/>
          <w:szCs w:val="22"/>
        </w:rPr>
        <w:t xml:space="preserve">3.2 — Site Vitrine (version simplifiée) — périmètre ajouté</w:t>
      </w:r>
    </w:p>
    <w:p>
      <w:pPr>
        <w:spacing w:after="160" w:line="276"/>
      </w:pPr>
      <w:r>
        <w:rPr>
          <w:sz w:val="21"/>
          <w:szCs w:val="21"/>
        </w:rPr>
        <w:t xml:space="preserve">Par dérogation au Cahier des Charges (où ce périmètre relève du module WEB, normalement planifié en phase ultérieure), les éléments suivants sont anticipés et livrés dans le cadre du présent Contrat :</w:t>
      </w:r>
    </w:p>
    <w:p>
      <w:pPr>
        <w:pStyle w:val="ListParagraph"/>
        <w:numPr>
          <w:ilvl w:val="0"/>
          <w:numId w:val="2"/>
        </w:numPr>
        <w:spacing w:after="90" w:line="270"/>
      </w:pPr>
      <w:r>
        <w:rPr>
          <w:sz w:val="21"/>
          <w:szCs w:val="21"/>
        </w:rPr>
        <w:t xml:space="preserve">Page d'accueil présentant KS Express Service et ses services (shipping, ventes, Zelle) ;</w:t>
      </w:r>
    </w:p>
    <w:p>
      <w:pPr>
        <w:pStyle w:val="ListParagraph"/>
        <w:numPr>
          <w:ilvl w:val="0"/>
          <w:numId w:val="2"/>
        </w:numPr>
        <w:spacing w:after="90" w:line="270"/>
      </w:pPr>
      <w:r>
        <w:rPr>
          <w:sz w:val="21"/>
          <w:szCs w:val="21"/>
        </w:rPr>
        <w:t xml:space="preserve">Page « Services » et page « À propos » ;</w:t>
      </w:r>
    </w:p>
    <w:p>
      <w:pPr>
        <w:pStyle w:val="ListParagraph"/>
        <w:numPr>
          <w:ilvl w:val="0"/>
          <w:numId w:val="2"/>
        </w:numPr>
        <w:spacing w:after="90" w:line="270"/>
      </w:pPr>
      <w:r>
        <w:rPr>
          <w:sz w:val="21"/>
          <w:szCs w:val="21"/>
        </w:rPr>
        <w:t xml:space="preserve">Page « Contact » avec formulaire de contact et localisation (carte) ;</w:t>
      </w:r>
    </w:p>
    <w:p>
      <w:pPr>
        <w:pStyle w:val="ListParagraph"/>
        <w:numPr>
          <w:ilvl w:val="0"/>
          <w:numId w:val="2"/>
        </w:numPr>
        <w:spacing w:after="90" w:line="270"/>
      </w:pPr>
      <w:r>
        <w:rPr>
          <w:sz w:val="21"/>
          <w:szCs w:val="21"/>
        </w:rPr>
        <w:t xml:space="preserve">Tracking public par numéro de tracking ou code colis, avec frise des étapes, conformément à RG-WEB-01 du Cahier des Charges (informations limitées : statut, dates d'étapes, ville — sans nom complet, adresse ni contenu du colis) ;</w:t>
      </w:r>
    </w:p>
    <w:p>
      <w:pPr>
        <w:pStyle w:val="ListParagraph"/>
        <w:numPr>
          <w:ilvl w:val="0"/>
          <w:numId w:val="2"/>
        </w:numPr>
        <w:spacing w:after="90" w:line="270"/>
      </w:pPr>
      <w:r>
        <w:rPr>
          <w:sz w:val="21"/>
          <w:szCs w:val="21"/>
        </w:rPr>
        <w:t xml:space="preserve">Mise en page responsive (mobile et bureau) et référencement de base (SEO minimal : balises, sitemap) ;</w:t>
      </w:r>
    </w:p>
    <w:p>
      <w:pPr>
        <w:pStyle w:val="ListParagraph"/>
        <w:numPr>
          <w:ilvl w:val="0"/>
          <w:numId w:val="2"/>
        </w:numPr>
        <w:spacing w:after="90" w:line="270"/>
      </w:pPr>
      <w:r>
        <w:rPr>
          <w:sz w:val="21"/>
          <w:szCs w:val="21"/>
        </w:rPr>
        <w:t xml:space="preserve">Lien d'accès au portail client (connexion / inscription) depuis le site.</w:t>
      </w:r>
    </w:p>
    <w:p>
      <w:pPr>
        <w:spacing w:after="100" w:before="200"/>
      </w:pPr>
      <w:r>
        <w:rPr>
          <w:b/>
          <w:bCs/>
          <w:color w:val="1F3864"/>
          <w:sz w:val="22"/>
          <w:szCs w:val="22"/>
        </w:rPr>
        <w:t xml:space="preserve">3.3 — Explicitement hors périmètre du présent Contrat</w:t>
      </w:r>
    </w:p>
    <w:p>
      <w:pPr>
        <w:spacing w:after="160" w:line="276"/>
      </w:pPr>
      <w:r>
        <w:rPr>
          <w:sz w:val="21"/>
          <w:szCs w:val="21"/>
        </w:rPr>
        <w:t xml:space="preserve">Les éléments suivants, bien que rattachés au module Site Web du Cahier des Charges, ne sont pas inclus dans le présent Contrat et demeurent planifiés à une phase ultérieure ou feront l'objet d'un avenant chiffré séparément :</w:t>
      </w:r>
    </w:p>
    <w:p>
      <w:pPr>
        <w:pStyle w:val="ListParagraph"/>
        <w:numPr>
          <w:ilvl w:val="0"/>
          <w:numId w:val="2"/>
        </w:numPr>
        <w:spacing w:after="90" w:line="270"/>
      </w:pPr>
      <w:r>
        <w:rPr>
          <w:sz w:val="21"/>
          <w:szCs w:val="21"/>
        </w:rPr>
        <w:t xml:space="preserve">Catalogue de produits en ligne et mini-boutique (panier, commande en ligne) ;</w:t>
      </w:r>
    </w:p>
    <w:p>
      <w:pPr>
        <w:pStyle w:val="ListParagraph"/>
        <w:numPr>
          <w:ilvl w:val="0"/>
          <w:numId w:val="2"/>
        </w:numPr>
        <w:spacing w:after="90" w:line="270"/>
      </w:pPr>
      <w:r>
        <w:rPr>
          <w:sz w:val="21"/>
          <w:szCs w:val="21"/>
        </w:rPr>
        <w:t xml:space="preserve">FAQ et blog administrables ;</w:t>
      </w:r>
    </w:p>
    <w:p>
      <w:pPr>
        <w:pStyle w:val="ListParagraph"/>
        <w:numPr>
          <w:ilvl w:val="0"/>
          <w:numId w:val="2"/>
        </w:numPr>
        <w:spacing w:after="90" w:line="270"/>
      </w:pPr>
      <w:r>
        <w:rPr>
          <w:sz w:val="21"/>
          <w:szCs w:val="21"/>
        </w:rPr>
        <w:t xml:space="preserve">Demande de devis en ligne structurée (formulaire dédié) ;</w:t>
      </w:r>
    </w:p>
    <w:p>
      <w:pPr>
        <w:pStyle w:val="ListParagraph"/>
        <w:numPr>
          <w:ilvl w:val="0"/>
          <w:numId w:val="2"/>
        </w:numPr>
        <w:spacing w:after="90" w:line="270"/>
      </w:pPr>
      <w:r>
        <w:rPr>
          <w:sz w:val="21"/>
          <w:szCs w:val="21"/>
        </w:rPr>
        <w:t xml:space="preserve">Paiement en ligne par carte bancaire et toute intégration de moyen de paiement électronique.</w:t>
      </w:r>
    </w:p>
    <w:p>
      <w:pPr>
        <w:spacing w:after="160" w:line="276"/>
      </w:pPr>
      <w:r>
        <w:rPr>
          <w:sz w:val="21"/>
          <w:szCs w:val="21"/>
        </w:rPr>
        <w:t xml:space="preserve">Toute demande du Client d'intégrer tout ou partie de ces éléments dans la Phase 1 fera l'objet d'un chiffrage complémentaire préalable, formalisé par avenant écrit signé des deux Parties, conformément à l'Article 12.</w:t>
      </w:r>
    </w:p>
    <w:p>
      <w:pPr>
        <w:pStyle w:val="Heading1"/>
        <w:pBdr>
          <w:bottom w:val="single" w:color="1F3864" w:sz="6" w:space="4"/>
        </w:pBdr>
        <w:spacing w:after="200" w:before="400"/>
      </w:pPr>
      <w:r>
        <w:rPr>
          <w:b/>
          <w:bCs/>
          <w:color w:val="1F3864"/>
          <w:sz w:val="26"/>
          <w:szCs w:val="26"/>
        </w:rPr>
        <w:t xml:space="preserve">Article 4 — Prix et remise commerciale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3400"/>
      </w:tblGrid>
      <w:tr>
        <w:trPr>
          <w:tblHeader/>
        </w:trPr>
        <w:tc>
          <w:tcPr>
            <w:tcW w:type="dxa" w:w="5626"/>
            <w:shd w:fill="1F3864" w:color="auto" w:val="clear"/>
            <w:tcMar>
              <w:top w:type="dxa" w:w="80"/>
              <w:left w:type="dxa" w:w="100"/>
              <w:bottom w:type="dxa" w:w="80"/>
              <w:right w:type="dxa" w:w="100"/>
            </w:tcMar>
            <w:vAlign w:val="center"/>
          </w:tcPr>
          <w:p>
            <w:pPr>
              <w:jc w:val="left"/>
            </w:pPr>
            <w:r>
              <w:rPr>
                <w:b/>
                <w:bCs/>
                <w:color w:val="FFFFFF"/>
                <w:sz w:val="20"/>
                <w:szCs w:val="20"/>
              </w:rPr>
              <w:t xml:space="preserve">Élément</w:t>
            </w:r>
          </w:p>
        </w:tc>
        <w:tc>
          <w:tcPr>
            <w:tcW w:type="dxa" w:w="3400"/>
            <w:shd w:fill="1F3864" w:color="auto" w:val="clear"/>
            <w:tcMar>
              <w:top w:type="dxa" w:w="80"/>
              <w:left w:type="dxa" w:w="100"/>
              <w:bottom w:type="dxa" w:w="80"/>
              <w:right w:type="dxa" w:w="100"/>
            </w:tcMar>
            <w:vAlign w:val="center"/>
          </w:tcPr>
          <w:p>
            <w:pPr>
              <w:jc w:val="right"/>
            </w:pPr>
            <w:r>
              <w:rPr>
                <w:b/>
                <w:bCs/>
                <w:color w:val="FFFFFF"/>
                <w:sz w:val="20"/>
                <w:szCs w:val="20"/>
              </w:rPr>
              <w:t xml:space="preserve">Montant (USD)</w:t>
            </w:r>
          </w:p>
        </w:tc>
      </w:tr>
      <w:tr>
        <w:tc>
          <w:tcPr>
            <w:tcW w:type="dxa" w:w="5626"/>
            <w:tcMar>
              <w:top w:type="dxa" w:w="80"/>
              <w:left w:type="dxa" w:w="100"/>
              <w:bottom w:type="dxa" w:w="80"/>
              <w:right w:type="dxa" w:w="100"/>
            </w:tcMar>
            <w:vAlign w:val="center"/>
          </w:tcPr>
          <w:p>
            <w:pPr>
              <w:jc w:val="left"/>
            </w:pPr>
            <w:r>
              <w:rPr>
                <w:b w:val="false"/>
                <w:bCs w:val="false"/>
                <w:color w:val="000000"/>
                <w:sz w:val="20"/>
                <w:szCs w:val="20"/>
              </w:rPr>
              <w:t xml:space="preserve">Prix Phase 1 — Shipping (MVP), tel que fixé au Devis NEX-KSE-2026-001</w:t>
            </w:r>
          </w:p>
        </w:tc>
        <w:tc>
          <w:tcPr>
            <w:tcW w:type="dxa" w:w="3400"/>
            <w:tcMar>
              <w:top w:type="dxa" w:w="80"/>
              <w:left w:type="dxa" w:w="100"/>
              <w:bottom w:type="dxa" w:w="80"/>
              <w:right w:type="dxa" w:w="100"/>
            </w:tcMar>
            <w:vAlign w:val="center"/>
          </w:tcPr>
          <w:p>
            <w:pPr>
              <w:jc w:val="right"/>
            </w:pPr>
            <w:r>
              <w:rPr>
                <w:b w:val="false"/>
                <w:bCs w:val="false"/>
                <w:color w:val="000000"/>
                <w:sz w:val="20"/>
                <w:szCs w:val="20"/>
              </w:rPr>
              <w:t xml:space="preserve">1 550,00</w:t>
            </w:r>
          </w:p>
        </w:tc>
      </w:tr>
      <w:tr>
        <w:tc>
          <w:tcPr>
            <w:tcW w:type="dxa" w:w="5626"/>
            <w:tcMar>
              <w:top w:type="dxa" w:w="80"/>
              <w:left w:type="dxa" w:w="100"/>
              <w:bottom w:type="dxa" w:w="80"/>
              <w:right w:type="dxa" w:w="100"/>
            </w:tcMar>
            <w:vAlign w:val="center"/>
          </w:tcPr>
          <w:p>
            <w:pPr>
              <w:jc w:val="left"/>
            </w:pPr>
            <w:r>
              <w:rPr>
                <w:b w:val="false"/>
                <w:bCs w:val="false"/>
                <w:color w:val="000000"/>
                <w:sz w:val="20"/>
                <w:szCs w:val="20"/>
              </w:rPr>
              <w:t xml:space="preserve">Site Vitrine (version simplifiée) — intégré sans coût additionnel</w:t>
            </w:r>
          </w:p>
        </w:tc>
        <w:tc>
          <w:tcPr>
            <w:tcW w:type="dxa" w:w="3400"/>
            <w:tcMar>
              <w:top w:type="dxa" w:w="80"/>
              <w:left w:type="dxa" w:w="100"/>
              <w:bottom w:type="dxa" w:w="80"/>
              <w:right w:type="dxa" w:w="100"/>
            </w:tcMar>
            <w:vAlign w:val="center"/>
          </w:tcPr>
          <w:p>
            <w:pPr>
              <w:jc w:val="right"/>
            </w:pPr>
            <w:r>
              <w:rPr>
                <w:b w:val="false"/>
                <w:bCs w:val="false"/>
                <w:color w:val="000000"/>
                <w:sz w:val="20"/>
                <w:szCs w:val="20"/>
              </w:rPr>
              <w:t xml:space="preserve">0,00</w:t>
            </w:r>
          </w:p>
        </w:tc>
      </w:tr>
      <w:tr>
        <w:tc>
          <w:tcPr>
            <w:tcW w:type="dxa" w:w="5626"/>
            <w:tcMar>
              <w:top w:type="dxa" w:w="80"/>
              <w:left w:type="dxa" w:w="100"/>
              <w:bottom w:type="dxa" w:w="80"/>
              <w:right w:type="dxa" w:w="100"/>
            </w:tcMar>
            <w:vAlign w:val="center"/>
          </w:tcPr>
          <w:p>
            <w:pPr>
              <w:jc w:val="left"/>
            </w:pPr>
            <w:r>
              <w:rPr>
                <w:b w:val="false"/>
                <w:bCs w:val="false"/>
                <w:color w:val="000000"/>
                <w:sz w:val="20"/>
                <w:szCs w:val="20"/>
              </w:rPr>
              <w:t xml:space="preserve">Remise commerciale exceptionnelle accordée au Client</w:t>
            </w:r>
          </w:p>
        </w:tc>
        <w:tc>
          <w:tcPr>
            <w:tcW w:type="dxa" w:w="3400"/>
            <w:tcMar>
              <w:top w:type="dxa" w:w="80"/>
              <w:left w:type="dxa" w:w="100"/>
              <w:bottom w:type="dxa" w:w="80"/>
              <w:right w:type="dxa" w:w="100"/>
            </w:tcMar>
            <w:vAlign w:val="center"/>
          </w:tcPr>
          <w:p>
            <w:pPr>
              <w:jc w:val="right"/>
            </w:pPr>
            <w:r>
              <w:rPr>
                <w:b w:val="false"/>
                <w:bCs w:val="false"/>
                <w:color w:val="000000"/>
                <w:sz w:val="20"/>
                <w:szCs w:val="20"/>
              </w:rPr>
              <w:t xml:space="preserve">− 250,00</w:t>
            </w:r>
          </w:p>
        </w:tc>
      </w:tr>
      <w:tr>
        <w:tc>
          <w:tcPr>
            <w:tcW w:type="dxa" w:w="5626"/>
            <w:shd w:fill="F2F2F2" w:color="auto" w:val="clear"/>
            <w:tcMar>
              <w:top w:type="dxa" w:w="80"/>
              <w:left w:type="dxa" w:w="100"/>
              <w:bottom w:type="dxa" w:w="80"/>
              <w:right w:type="dxa" w:w="100"/>
            </w:tcMar>
            <w:vAlign w:val="center"/>
          </w:tcPr>
          <w:p>
            <w:pPr>
              <w:jc w:val="left"/>
            </w:pPr>
            <w:r>
              <w:rPr>
                <w:b/>
                <w:bCs/>
                <w:color w:val="000000"/>
                <w:sz w:val="20"/>
                <w:szCs w:val="20"/>
              </w:rPr>
              <w:t xml:space="preserve">PRIX NET DU PRÉSENT CONTRAT (Phase 1 + Site Vitrine simplifié)</w:t>
            </w:r>
          </w:p>
        </w:tc>
        <w:tc>
          <w:tcPr>
            <w:tcW w:type="dxa" w:w="3400"/>
            <w:shd w:fill="F2F2F2" w:color="auto" w:val="clear"/>
            <w:tcMar>
              <w:top w:type="dxa" w:w="80"/>
              <w:left w:type="dxa" w:w="100"/>
              <w:bottom w:type="dxa" w:w="80"/>
              <w:right w:type="dxa" w:w="100"/>
            </w:tcMar>
            <w:vAlign w:val="center"/>
          </w:tcPr>
          <w:p>
            <w:pPr>
              <w:jc w:val="right"/>
            </w:pPr>
            <w:r>
              <w:rPr>
                <w:b/>
                <w:bCs/>
                <w:color w:val="000000"/>
                <w:sz w:val="20"/>
                <w:szCs w:val="20"/>
              </w:rPr>
              <w:t xml:space="preserve">1 300,00</w:t>
            </w:r>
          </w:p>
        </w:tc>
      </w:tr>
    </w:tbl>
    <w:p>
      <w:pPr>
        <w:spacing w:after="160" w:line="276"/>
      </w:pPr>
      <w:r>
        <w:rPr>
          <w:sz w:val="21"/>
          <w:szCs w:val="21"/>
        </w:rPr>
        <w:t xml:space="preserve"/>
      </w:r>
    </w:p>
    <w:p>
      <w:pPr>
        <w:spacing w:after="160" w:line="276"/>
      </w:pPr>
      <w:r>
        <w:rPr>
          <w:sz w:val="21"/>
          <w:szCs w:val="21"/>
        </w:rPr>
        <w:t xml:space="preserve">La remise de 250 USD constitue une remise commerciale exceptionnelle et ponctuelle, accordée en contrepartie de la signature du présent Contrat et de son acompte à la date des présentes. Elle est propre à cette commande et ne saurait constituer un usage, un droit acquis ou un précédent applicable aux phases suivantes du projet.</w:t>
      </w:r>
    </w:p>
    <w:p>
      <w:pPr>
        <w:spacing w:after="160" w:line="276"/>
      </w:pPr>
      <w:r>
        <w:rPr>
          <w:sz w:val="21"/>
          <w:szCs w:val="21"/>
        </w:rPr>
        <w:t xml:space="preserve">Les montants ci-dessus sont exprimés en dollars américains (USD), hors coûts récurrents tiers (hébergement, nom de domaine, service d'envoi d'emails, API WhatsApp, imprimante thermique), lesquels demeurent à la charge exclusive du Client conformément à la section 5 du Devis Professionnel.</w:t>
      </w:r>
    </w:p>
    <w:p>
      <w:pPr>
        <w:pStyle w:val="Heading1"/>
        <w:pBdr>
          <w:bottom w:val="single" w:color="1F3864" w:sz="6" w:space="4"/>
        </w:pBdr>
        <w:spacing w:after="200" w:before="400"/>
      </w:pPr>
      <w:r>
        <w:rPr>
          <w:b/>
          <w:bCs/>
          <w:color w:val="1F3864"/>
          <w:sz w:val="26"/>
          <w:szCs w:val="26"/>
        </w:rPr>
        <w:t xml:space="preserve">Article 5 — Modalités de paiement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tblHeader/>
        </w:trPr>
        <w:tc>
          <w:tcPr>
            <w:tcW w:type="dxa" w:w="2400"/>
            <w:shd w:fill="1F3864" w:color="auto" w:val="clear"/>
            <w:tcMar>
              <w:top w:type="dxa" w:w="80"/>
              <w:left w:type="dxa" w:w="100"/>
              <w:bottom w:type="dxa" w:w="80"/>
              <w:right w:type="dxa" w:w="100"/>
            </w:tcMar>
            <w:vAlign w:val="center"/>
          </w:tcPr>
          <w:p>
            <w:pPr>
              <w:jc w:val="left"/>
            </w:pPr>
            <w:r>
              <w:rPr>
                <w:b/>
                <w:bCs/>
                <w:color w:val="FFFFFF"/>
                <w:sz w:val="20"/>
                <w:szCs w:val="20"/>
              </w:rPr>
              <w:t xml:space="preserve">Échéance</w:t>
            </w:r>
          </w:p>
        </w:tc>
        <w:tc>
          <w:tcPr>
            <w:tcW w:type="dxa" w:w="3400"/>
            <w:shd w:fill="1F3864" w:color="auto" w:val="clear"/>
            <w:tcMar>
              <w:top w:type="dxa" w:w="80"/>
              <w:left w:type="dxa" w:w="100"/>
              <w:bottom w:type="dxa" w:w="80"/>
              <w:right w:type="dxa" w:w="100"/>
            </w:tcMar>
            <w:vAlign w:val="center"/>
          </w:tcPr>
          <w:p>
            <w:pPr>
              <w:jc w:val="left"/>
            </w:pPr>
            <w:r>
              <w:rPr>
                <w:b/>
                <w:bCs/>
                <w:color w:val="FFFFFF"/>
                <w:sz w:val="20"/>
                <w:szCs w:val="20"/>
              </w:rPr>
              <w:t xml:space="preserve">Moment</w:t>
            </w:r>
          </w:p>
        </w:tc>
        <w:tc>
          <w:tcPr>
            <w:tcW w:type="dxa" w:w="3226"/>
            <w:shd w:fill="1F3864" w:color="auto" w:val="clear"/>
            <w:tcMar>
              <w:top w:type="dxa" w:w="80"/>
              <w:left w:type="dxa" w:w="100"/>
              <w:bottom w:type="dxa" w:w="80"/>
              <w:right w:type="dxa" w:w="100"/>
            </w:tcMar>
            <w:vAlign w:val="center"/>
          </w:tcPr>
          <w:p>
            <w:pPr>
              <w:jc w:val="right"/>
            </w:pPr>
            <w:r>
              <w:rPr>
                <w:b/>
                <w:bCs/>
                <w:color w:val="FFFFFF"/>
                <w:sz w:val="20"/>
                <w:szCs w:val="20"/>
              </w:rPr>
              <w:t xml:space="preserve">Montant</w:t>
            </w:r>
          </w:p>
        </w:tc>
      </w:tr>
      <w:tr>
        <w:tc>
          <w:tcPr>
            <w:tcW w:type="dxa" w:w="2400"/>
            <w:shd w:fill="F2F2F2" w:color="auto" w:val="clear"/>
            <w:tcMar>
              <w:top w:type="dxa" w:w="80"/>
              <w:left w:type="dxa" w:w="100"/>
              <w:bottom w:type="dxa" w:w="80"/>
              <w:right w:type="dxa" w:w="100"/>
            </w:tcMar>
            <w:vAlign w:val="center"/>
          </w:tcPr>
          <w:p>
            <w:pPr>
              <w:jc w:val="left"/>
            </w:pPr>
            <w:r>
              <w:rPr>
                <w:b/>
                <w:bCs/>
                <w:color w:val="000000"/>
                <w:sz w:val="20"/>
                <w:szCs w:val="20"/>
              </w:rPr>
              <w:t xml:space="preserve">Acompte (50 %)</w:t>
            </w:r>
          </w:p>
        </w:tc>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À la signature du présent Contrat, avant démarrage des travaux.</w:t>
            </w:r>
          </w:p>
        </w:tc>
        <w:tc>
          <w:tcPr>
            <w:tcW w:type="dxa" w:w="3226"/>
            <w:tcMar>
              <w:top w:type="dxa" w:w="80"/>
              <w:left w:type="dxa" w:w="100"/>
              <w:bottom w:type="dxa" w:w="80"/>
              <w:right w:type="dxa" w:w="100"/>
            </w:tcMar>
            <w:vAlign w:val="center"/>
          </w:tcPr>
          <w:p>
            <w:pPr>
              <w:jc w:val="right"/>
            </w:pPr>
            <w:r>
              <w:rPr>
                <w:b w:val="false"/>
                <w:bCs w:val="false"/>
                <w:color w:val="000000"/>
                <w:sz w:val="20"/>
                <w:szCs w:val="20"/>
              </w:rPr>
              <w:t xml:space="preserve">650,00 USD</w:t>
            </w:r>
          </w:p>
        </w:tc>
      </w:tr>
      <w:tr>
        <w:tc>
          <w:tcPr>
            <w:tcW w:type="dxa" w:w="2400"/>
            <w:shd w:fill="F2F2F2" w:color="auto" w:val="clear"/>
            <w:tcMar>
              <w:top w:type="dxa" w:w="80"/>
              <w:left w:type="dxa" w:w="100"/>
              <w:bottom w:type="dxa" w:w="80"/>
              <w:right w:type="dxa" w:w="100"/>
            </w:tcMar>
            <w:vAlign w:val="center"/>
          </w:tcPr>
          <w:p>
            <w:pPr>
              <w:jc w:val="left"/>
            </w:pPr>
            <w:r>
              <w:rPr>
                <w:b/>
                <w:bCs/>
                <w:color w:val="000000"/>
                <w:sz w:val="20"/>
                <w:szCs w:val="20"/>
              </w:rPr>
              <w:t xml:space="preserve">Solde (50 %)</w:t>
            </w:r>
          </w:p>
        </w:tc>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À la livraison validée (recette signée) du périmètre combiné Phase 1 + Site Vitrine.</w:t>
            </w:r>
          </w:p>
        </w:tc>
        <w:tc>
          <w:tcPr>
            <w:tcW w:type="dxa" w:w="3226"/>
            <w:tcMar>
              <w:top w:type="dxa" w:w="80"/>
              <w:left w:type="dxa" w:w="100"/>
              <w:bottom w:type="dxa" w:w="80"/>
              <w:right w:type="dxa" w:w="100"/>
            </w:tcMar>
            <w:vAlign w:val="center"/>
          </w:tcPr>
          <w:p>
            <w:pPr>
              <w:jc w:val="right"/>
            </w:pPr>
            <w:r>
              <w:rPr>
                <w:b w:val="false"/>
                <w:bCs w:val="false"/>
                <w:color w:val="000000"/>
                <w:sz w:val="20"/>
                <w:szCs w:val="20"/>
              </w:rPr>
              <w:t xml:space="preserve">650,00 USD</w:t>
            </w:r>
          </w:p>
        </w:tc>
      </w:tr>
    </w:tbl>
    <w:p>
      <w:pPr>
        <w:spacing w:after="160" w:line="276"/>
      </w:pPr>
      <w:r>
        <w:rPr>
          <w:sz w:val="21"/>
          <w:szCs w:val="21"/>
        </w:rPr>
        <w:t xml:space="preserve"/>
      </w:r>
    </w:p>
    <w:p>
      <w:pPr>
        <w:spacing w:after="160" w:line="276"/>
      </w:pPr>
      <w:r>
        <w:rPr>
          <w:sz w:val="21"/>
          <w:szCs w:val="21"/>
        </w:rPr>
        <w:t xml:space="preserve">Le démarrage effectif des travaux est conditionné à l'encaissement effectif de l'acompte. Moyens de paiement acceptés : Zelle, virement bancaire ou espèces ; un reçu est émis pour chaque versement.</w:t>
      </w:r>
    </w:p>
    <w:p>
      <w:pPr>
        <w:pStyle w:val="Heading1"/>
        <w:pBdr>
          <w:bottom w:val="single" w:color="1F3864" w:sz="6" w:space="4"/>
        </w:pBdr>
        <w:spacing w:after="200" w:before="400"/>
      </w:pPr>
      <w:r>
        <w:rPr>
          <w:b/>
          <w:bCs/>
          <w:color w:val="1F3864"/>
          <w:sz w:val="26"/>
          <w:szCs w:val="26"/>
        </w:rPr>
        <w:t xml:space="preserve">Article 6 — Délais indicatifs</w:t>
      </w:r>
    </w:p>
    <w:p>
      <w:pPr>
        <w:spacing w:after="160" w:line="276"/>
      </w:pPr>
      <w:r>
        <w:rPr>
          <w:sz w:val="21"/>
          <w:szCs w:val="21"/>
        </w:rPr>
        <w:t xml:space="preserve">La durée indicative de réalisation du périmètre combiné (Phase 1 + Site Vitrine simplifié) est de 11 à 14 semaines à compter de l'encaissement de l'acompte et de la mise à disposition, par le Client, des éléments listés à l'Article 8. Ce délai est indicatif et sera affiné dans le planning de sprints communiqué en début de projet ; il pourra être ajusté d'un commun accord en cas de retard imputable au Client dans la fourniture des éléments requis.</w:t>
      </w:r>
    </w:p>
    <w:p>
      <w:pPr>
        <w:pStyle w:val="Heading1"/>
        <w:pBdr>
          <w:bottom w:val="single" w:color="1F3864" w:sz="6" w:space="4"/>
        </w:pBdr>
        <w:spacing w:after="200" w:before="400"/>
      </w:pPr>
      <w:r>
        <w:rPr>
          <w:b/>
          <w:bCs/>
          <w:color w:val="1F3864"/>
          <w:sz w:val="26"/>
          <w:szCs w:val="26"/>
        </w:rPr>
        <w:t xml:space="preserve">Article 7 — Obligations du Prestataire</w:t>
      </w:r>
    </w:p>
    <w:p>
      <w:pPr>
        <w:pStyle w:val="ListParagraph"/>
        <w:numPr>
          <w:ilvl w:val="0"/>
          <w:numId w:val="2"/>
        </w:numPr>
        <w:spacing w:after="90" w:line="270"/>
      </w:pPr>
      <w:r>
        <w:rPr>
          <w:sz w:val="21"/>
          <w:szCs w:val="21"/>
        </w:rPr>
        <w:t xml:space="preserve">Concevoir, développer, tester et déployer le périmètre défini à l'Article 3 ;</w:t>
      </w:r>
    </w:p>
    <w:p>
      <w:pPr>
        <w:pStyle w:val="ListParagraph"/>
        <w:numPr>
          <w:ilvl w:val="0"/>
          <w:numId w:val="2"/>
        </w:numPr>
        <w:spacing w:after="90" w:line="270"/>
      </w:pPr>
      <w:r>
        <w:rPr>
          <w:sz w:val="21"/>
          <w:szCs w:val="21"/>
        </w:rPr>
        <w:t xml:space="preserve">Fournir la documentation utilisateur et assurer la formation du personnel concerné, conformément à la section 24 du Cahier des Charges ;</w:t>
      </w:r>
    </w:p>
    <w:p>
      <w:pPr>
        <w:pStyle w:val="ListParagraph"/>
        <w:numPr>
          <w:ilvl w:val="0"/>
          <w:numId w:val="2"/>
        </w:numPr>
        <w:spacing w:after="90" w:line="270"/>
      </w:pPr>
      <w:r>
        <w:rPr>
          <w:sz w:val="21"/>
          <w:szCs w:val="21"/>
        </w:rPr>
        <w:t xml:space="preserve">Assurer une garantie de deux (2) mois à compter de la mise en production, dans les conditions de l'Article 9 ;</w:t>
      </w:r>
    </w:p>
    <w:p>
      <w:pPr>
        <w:pStyle w:val="ListParagraph"/>
        <w:numPr>
          <w:ilvl w:val="0"/>
          <w:numId w:val="2"/>
        </w:numPr>
        <w:spacing w:after="90" w:line="270"/>
      </w:pPr>
      <w:r>
        <w:rPr>
          <w:sz w:val="21"/>
          <w:szCs w:val="21"/>
        </w:rPr>
        <w:t xml:space="preserve">Tenir le Client informé de l'avancement selon la gouvernance de projet définie au Cahier des Charges (section 22.3) : point hebdomadaire, démonstration de fin de sprint, environnement de recette accessible.</w:t>
      </w:r>
    </w:p>
    <w:p>
      <w:pPr>
        <w:pStyle w:val="Heading1"/>
        <w:pBdr>
          <w:bottom w:val="single" w:color="1F3864" w:sz="6" w:space="4"/>
        </w:pBdr>
        <w:spacing w:after="200" w:before="400"/>
      </w:pPr>
      <w:r>
        <w:rPr>
          <w:b/>
          <w:bCs/>
          <w:color w:val="1F3864"/>
          <w:sz w:val="26"/>
          <w:szCs w:val="26"/>
        </w:rPr>
        <w:t xml:space="preserve">Article 8 — Obligations du Client</w:t>
      </w:r>
    </w:p>
    <w:p>
      <w:pPr>
        <w:spacing w:after="160" w:line="276"/>
      </w:pPr>
      <w:r>
        <w:rPr>
          <w:sz w:val="21"/>
          <w:szCs w:val="21"/>
        </w:rPr>
        <w:t xml:space="preserve">Le Client s'engage à fournir, dans les délais convenus, les éléments suivants, nécessaires à la réalisation du périmètre du présent Contrat :</w:t>
      </w:r>
    </w:p>
    <w:p>
      <w:pPr>
        <w:pStyle w:val="ListParagraph"/>
        <w:numPr>
          <w:ilvl w:val="0"/>
          <w:numId w:val="2"/>
        </w:numPr>
        <w:spacing w:after="90" w:line="270"/>
      </w:pPr>
      <w:r>
        <w:rPr>
          <w:sz w:val="21"/>
          <w:szCs w:val="21"/>
        </w:rPr>
        <w:t xml:space="preserve">Logo et charte graphique, s'ils existent (à défaut, une identité visuelle simple sera proposée par le Prestataire) ;</w:t>
      </w:r>
    </w:p>
    <w:p>
      <w:pPr>
        <w:pStyle w:val="ListParagraph"/>
        <w:numPr>
          <w:ilvl w:val="0"/>
          <w:numId w:val="2"/>
        </w:numPr>
        <w:spacing w:after="90" w:line="270"/>
      </w:pPr>
      <w:r>
        <w:rPr>
          <w:sz w:val="21"/>
          <w:szCs w:val="21"/>
        </w:rPr>
        <w:t xml:space="preserve">Accès à la boîte email du dépôt USA, ou création d'une boîte dédiée ;</w:t>
      </w:r>
    </w:p>
    <w:p>
      <w:pPr>
        <w:pStyle w:val="ListParagraph"/>
        <w:numPr>
          <w:ilvl w:val="0"/>
          <w:numId w:val="2"/>
        </w:numPr>
        <w:spacing w:after="90" w:line="270"/>
      </w:pPr>
      <w:r>
        <w:rPr>
          <w:sz w:val="21"/>
          <w:szCs w:val="21"/>
        </w:rPr>
        <w:t xml:space="preserve">Exemples réels d'emails de livraison et de confirmations Zelle ;</w:t>
      </w:r>
    </w:p>
    <w:p>
      <w:pPr>
        <w:pStyle w:val="ListParagraph"/>
        <w:numPr>
          <w:ilvl w:val="0"/>
          <w:numId w:val="2"/>
        </w:numPr>
        <w:spacing w:after="90" w:line="270"/>
      </w:pPr>
      <w:r>
        <w:rPr>
          <w:sz w:val="21"/>
          <w:szCs w:val="21"/>
        </w:rPr>
        <w:t xml:space="preserve">Grille tarifaire de shipping (catégories, prix par livre, frais fixes) ;</w:t>
      </w:r>
    </w:p>
    <w:p>
      <w:pPr>
        <w:pStyle w:val="ListParagraph"/>
        <w:numPr>
          <w:ilvl w:val="0"/>
          <w:numId w:val="2"/>
        </w:numPr>
        <w:spacing w:after="90" w:line="270"/>
      </w:pPr>
      <w:r>
        <w:rPr>
          <w:sz w:val="21"/>
          <w:szCs w:val="21"/>
        </w:rPr>
        <w:t xml:space="preserve">Liste des clients existants (fichier Excel / CSV), le cas échéant ;</w:t>
      </w:r>
    </w:p>
    <w:p>
      <w:pPr>
        <w:pStyle w:val="ListParagraph"/>
        <w:numPr>
          <w:ilvl w:val="0"/>
          <w:numId w:val="2"/>
        </w:numPr>
        <w:spacing w:after="90" w:line="270"/>
      </w:pPr>
      <w:r>
        <w:rPr>
          <w:sz w:val="21"/>
          <w:szCs w:val="21"/>
        </w:rPr>
        <w:t xml:space="preserve">Textes et visuels destinés aux pages du Site Vitrine (présentation de l'entreprise, services, coordonnées) ;</w:t>
      </w:r>
    </w:p>
    <w:p>
      <w:pPr>
        <w:pStyle w:val="ListParagraph"/>
        <w:numPr>
          <w:ilvl w:val="0"/>
          <w:numId w:val="2"/>
        </w:numPr>
        <w:spacing w:after="90" w:line="270"/>
      </w:pPr>
      <w:r>
        <w:rPr>
          <w:sz w:val="21"/>
          <w:szCs w:val="21"/>
        </w:rPr>
        <w:t xml:space="preserve">Nom de domaine souhaité pour le site.</w:t>
      </w:r>
    </w:p>
    <w:p>
      <w:pPr>
        <w:spacing w:after="160" w:line="276"/>
      </w:pPr>
      <w:r>
        <w:rPr>
          <w:sz w:val="21"/>
          <w:szCs w:val="21"/>
        </w:rPr>
        <w:t xml:space="preserve">Tout retard du Client dans la fourniture de ces éléments décale d'autant le planning de livraison, sans que la responsabilité du Prestataire puisse être engagée à ce titre.</w:t>
      </w:r>
    </w:p>
    <w:p>
      <w:pPr>
        <w:pStyle w:val="Heading1"/>
        <w:pBdr>
          <w:bottom w:val="single" w:color="1F3864" w:sz="6" w:space="4"/>
        </w:pBdr>
        <w:spacing w:after="200" w:before="400"/>
      </w:pPr>
      <w:r>
        <w:rPr>
          <w:b/>
          <w:bCs/>
          <w:color w:val="1F3864"/>
          <w:sz w:val="26"/>
          <w:szCs w:val="26"/>
        </w:rPr>
        <w:t xml:space="preserve">Article 9 — Garantie</w:t>
      </w:r>
    </w:p>
    <w:p>
      <w:pPr>
        <w:spacing w:after="160" w:line="276"/>
      </w:pPr>
      <w:r>
        <w:rPr>
          <w:sz w:val="21"/>
          <w:szCs w:val="21"/>
        </w:rPr>
        <w:t xml:space="preserve">À compter de la mise en production du périmètre objet du présent Contrat, une garantie de deux (2) mois s'applique : toute anomalie de non-conformité au Cahier des Charges est corrigée sans frais, selon les niveaux de priorité définis à la section 23.1 du Cahier des Charges (anomalie bloquante, majeure, mineure). Cette garantie exclut les évolutions de périmètre, lesquelles relèvent de l'Article 12. À l'issue de la garantie, un contrat de maintenance pourra être proposé séparément, conformément à la section 6.2 du Devis Professionnel.</w:t>
      </w:r>
    </w:p>
    <w:p>
      <w:pPr>
        <w:pStyle w:val="Heading1"/>
        <w:pBdr>
          <w:bottom w:val="single" w:color="1F3864" w:sz="6" w:space="4"/>
        </w:pBdr>
        <w:spacing w:after="200" w:before="400"/>
      </w:pPr>
      <w:r>
        <w:rPr>
          <w:b/>
          <w:bCs/>
          <w:color w:val="1F3864"/>
          <w:sz w:val="26"/>
          <w:szCs w:val="26"/>
        </w:rPr>
        <w:t xml:space="preserve">Article 10 — Propriété intellectuelle</w:t>
      </w:r>
    </w:p>
    <w:p>
      <w:pPr>
        <w:spacing w:after="160" w:line="276"/>
      </w:pPr>
      <w:r>
        <w:rPr>
          <w:sz w:val="21"/>
          <w:szCs w:val="21"/>
        </w:rPr>
        <w:t xml:space="preserve">À l'encaissement complet du prix net défini à l'Article 4, le code source et les données afférents au périmètre du présent Contrat sont la propriété du Client. Le Prestataire conserve le droit de réutiliser ses composants génériques, bibliothèques et savoir-faire technique développés à cette occasion, pour ses autres clients, dans la mesure où cette réutilisation ne porte pas atteinte à la confidentialité des données propres au Client.</w:t>
      </w:r>
    </w:p>
    <w:p>
      <w:pPr>
        <w:pStyle w:val="Heading1"/>
        <w:pBdr>
          <w:bottom w:val="single" w:color="1F3864" w:sz="6" w:space="4"/>
        </w:pBdr>
        <w:spacing w:after="200" w:before="400"/>
      </w:pPr>
      <w:r>
        <w:rPr>
          <w:b/>
          <w:bCs/>
          <w:color w:val="1F3864"/>
          <w:sz w:val="26"/>
          <w:szCs w:val="26"/>
        </w:rPr>
        <w:t xml:space="preserve">Article 11 — Confidentialité</w:t>
      </w:r>
    </w:p>
    <w:p>
      <w:pPr>
        <w:spacing w:after="160" w:line="276"/>
      </w:pPr>
      <w:r>
        <w:rPr>
          <w:sz w:val="21"/>
          <w:szCs w:val="21"/>
        </w:rPr>
        <w:t xml:space="preserve">Les Parties s'engagent à garder confidentiels les informations, données et documents échangés dans le cadre de l'exécution du présent Contrat, pendant toute sa durée et pour une période de deux (2) ans après son terme, sauf accord écrit contraire ou obligation légale de divulgation.</w:t>
      </w:r>
    </w:p>
    <w:p>
      <w:pPr>
        <w:pStyle w:val="Heading1"/>
        <w:pBdr>
          <w:bottom w:val="single" w:color="1F3864" w:sz="6" w:space="4"/>
        </w:pBdr>
        <w:spacing w:after="200" w:before="400"/>
      </w:pPr>
      <w:r>
        <w:rPr>
          <w:b/>
          <w:bCs/>
          <w:color w:val="1F3864"/>
          <w:sz w:val="26"/>
          <w:szCs w:val="26"/>
        </w:rPr>
        <w:t xml:space="preserve">Article 12 — Modification de périmètre — Avenant</w:t>
      </w:r>
    </w:p>
    <w:p>
      <w:pPr>
        <w:spacing w:after="160" w:line="276"/>
      </w:pPr>
      <w:r>
        <w:rPr>
          <w:sz w:val="21"/>
          <w:szCs w:val="21"/>
        </w:rPr>
        <w:t xml:space="preserve">Toute demande du Client portant sur un élément non compris dans le périmètre défini à l'Article 3 (notamment les éléments listés à l'Article 3.3) fait l'objet d'un chiffrage complémentaire communiqué par le Prestataire, et n'est réalisée qu'après signature d'un avenant écrit par les deux Parties, précisant le contenu, le prix et le délai additionnels.</w:t>
      </w:r>
    </w:p>
    <w:p>
      <w:pPr>
        <w:pStyle w:val="Heading1"/>
        <w:pBdr>
          <w:bottom w:val="single" w:color="1F3864" w:sz="6" w:space="4"/>
        </w:pBdr>
        <w:spacing w:after="200" w:before="400"/>
      </w:pPr>
      <w:r>
        <w:rPr>
          <w:b/>
          <w:bCs/>
          <w:color w:val="1F3864"/>
          <w:sz w:val="26"/>
          <w:szCs w:val="26"/>
        </w:rPr>
        <w:t xml:space="preserve">Article 13 — Résiliation</w:t>
      </w:r>
    </w:p>
    <w:p>
      <w:pPr>
        <w:spacing w:after="160" w:line="276"/>
      </w:pPr>
      <w:r>
        <w:rPr>
          <w:sz w:val="21"/>
          <w:szCs w:val="21"/>
        </w:rPr>
        <w:t xml:space="preserve">Le Client peut résilier le présent Contrat avant son terme moyennant un préavis écrit de quinze (15) jours. En cas de résiliation à l'initiative du Client, les travaux déjà réalisés et les montants déjà encaissés (notamment l'acompte visé à l'Article 5) restent acquis au Prestataire à titre de rémunération du travail effectué et de dédommagement, sans préjudice de la restitution au Client des livrables achevés au jour de la résiliation. Le Client peut également renoncer aux phases suivantes du projet (Phase 2, Phase 3 et périmètre exclu de l'Article 3.3) sans pénalité, chaque phase étant autonome conformément au Devis Professionnel.</w:t>
      </w:r>
    </w:p>
    <w:p>
      <w:pPr>
        <w:pStyle w:val="Heading1"/>
        <w:pBdr>
          <w:bottom w:val="single" w:color="1F3864" w:sz="6" w:space="4"/>
        </w:pBdr>
        <w:spacing w:after="200" w:before="400"/>
      </w:pPr>
      <w:r>
        <w:rPr>
          <w:b/>
          <w:bCs/>
          <w:color w:val="1F3864"/>
          <w:sz w:val="26"/>
          <w:szCs w:val="26"/>
        </w:rPr>
        <w:t xml:space="preserve">Article 14 — Force majeure</w:t>
      </w:r>
    </w:p>
    <w:p>
      <w:pPr>
        <w:spacing w:after="160" w:line="276"/>
      </w:pPr>
      <w:r>
        <w:rPr>
          <w:sz w:val="21"/>
          <w:szCs w:val="21"/>
        </w:rPr>
        <w:t xml:space="preserve">Aucune des Parties ne pourra être tenue responsable d'un retard ou d'une inexécution de ses obligations résultant d'un cas de force majeure tel que reconnu par le droit applicable (catastrophe naturelle, coupure prolongée d'électricité ou de réseau, troubles civils, décision gouvernementale, ou tout autre événement imprévisible, irrésistible et extérieur aux Parties), sous réserve d'en informer l'autre Partie dans les meilleurs délais.</w:t>
      </w:r>
    </w:p>
    <w:p>
      <w:pPr>
        <w:pStyle w:val="Heading1"/>
        <w:pBdr>
          <w:bottom w:val="single" w:color="1F3864" w:sz="6" w:space="4"/>
        </w:pBdr>
        <w:spacing w:after="200" w:before="400"/>
      </w:pPr>
      <w:r>
        <w:rPr>
          <w:b/>
          <w:bCs/>
          <w:color w:val="1F3864"/>
          <w:sz w:val="26"/>
          <w:szCs w:val="26"/>
        </w:rPr>
        <w:t xml:space="preserve">Article 15 — Loi applicable et règlement des différends</w:t>
      </w:r>
    </w:p>
    <w:p>
      <w:pPr>
        <w:spacing w:after="160" w:line="276"/>
      </w:pPr>
      <w:r>
        <w:rPr>
          <w:sz w:val="21"/>
          <w:szCs w:val="21"/>
        </w:rPr>
        <w:t xml:space="preserve">Le présent Contrat est soumis au droit haïtien. En cas de différend relatif à la formation, l'exécution ou l'interprétation du présent Contrat, les Parties s'engagent à rechercher de bonne foi une solution amiable avant toute action contentieuse. À défaut d'accord amiable dans un délai de trente (30) jours, le différend sera porté devant les juridictions compétentes du ressort du siège du Client, sauf disposition légale impérative contraire.</w:t>
      </w:r>
    </w:p>
    <w:p>
      <w:pPr>
        <w:spacing w:after="160" w:line="276"/>
      </w:pPr>
      <w:r>
        <w:rPr>
          <w:i/>
          <w:iCs/>
          <w:color w:val="595959"/>
          <w:sz w:val="19"/>
          <w:szCs w:val="19"/>
        </w:rPr>
        <w:t xml:space="preserve">Note : les Parties sont invitées à faire valider les modalités précises de règlement des différends (juridiction, mode de notification, éventuel recours à la médiation) par un conseil juridique habilité à exercer en Haïti avant signature définitive.</w:t>
      </w:r>
    </w:p>
    <w:p>
      <w:pPr>
        <w:pStyle w:val="Heading1"/>
        <w:pBdr>
          <w:bottom w:val="single" w:color="1F3864" w:sz="6" w:space="4"/>
        </w:pBdr>
        <w:spacing w:after="200" w:before="400"/>
      </w:pPr>
      <w:r>
        <w:rPr>
          <w:b/>
          <w:bCs/>
          <w:color w:val="1F3864"/>
          <w:sz w:val="26"/>
          <w:szCs w:val="26"/>
        </w:rPr>
        <w:t xml:space="preserve">Article 16 — Entrée en vigueur et signatures</w:t>
      </w:r>
    </w:p>
    <w:p>
      <w:pPr>
        <w:spacing w:after="160" w:line="276"/>
      </w:pPr>
      <w:r>
        <w:rPr>
          <w:sz w:val="21"/>
          <w:szCs w:val="21"/>
        </w:rPr>
        <w:t xml:space="preserve">Le présent Contrat entre en vigueur à la date de sa signature par les deux Parties et de l'encaissement effectif de l'acompte visé à l'Article 5. Il est établi en deux (2) exemplaires originaux, chaque Partie reconnaissant avoir reçu le sien.</w:t>
      </w:r>
    </w:p>
    <w:p>
      <w:pPr>
        <w:spacing w:before="5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F2F2F2" w:color="auto" w:val="clear"/>
            <w:tcMar>
              <w:top w:type="dxa" w:w="80"/>
              <w:left w:type="dxa" w:w="100"/>
              <w:bottom w:type="dxa" w:w="80"/>
              <w:right w:type="dxa" w:w="100"/>
            </w:tcMar>
            <w:vAlign w:val="center"/>
          </w:tcPr>
          <w:p>
            <w:pPr>
              <w:jc w:val="left"/>
            </w:pPr>
            <w:r>
              <w:rPr>
                <w:b/>
                <w:bCs/>
                <w:color w:val="000000"/>
                <w:sz w:val="20"/>
                <w:szCs w:val="20"/>
              </w:rPr>
              <w:t xml:space="preserve">Pour KS EXPRESS SERVICE</w:t>
            </w:r>
          </w:p>
        </w:tc>
        <w:tc>
          <w:tcPr>
            <w:tcW w:type="dxa" w:w="4513"/>
            <w:shd w:fill="F2F2F2" w:color="auto" w:val="clear"/>
            <w:tcMar>
              <w:top w:type="dxa" w:w="80"/>
              <w:left w:type="dxa" w:w="100"/>
              <w:bottom w:type="dxa" w:w="80"/>
              <w:right w:type="dxa" w:w="100"/>
            </w:tcMar>
            <w:vAlign w:val="center"/>
          </w:tcPr>
          <w:p>
            <w:pPr>
              <w:jc w:val="left"/>
            </w:pPr>
            <w:r>
              <w:rPr>
                <w:b/>
                <w:bCs/>
                <w:color w:val="000000"/>
                <w:sz w:val="20"/>
                <w:szCs w:val="20"/>
              </w:rPr>
              <w:t xml:space="preserve">Pour NEXORIS</w:t>
            </w:r>
          </w:p>
        </w:tc>
      </w:tr>
      <w:tr>
        <w:tc>
          <w:tcPr>
            <w:tcW w:type="dxa" w:w="4513"/>
            <w:tcMar>
              <w:top w:type="dxa" w:w="80"/>
              <w:left w:type="dxa" w:w="100"/>
              <w:bottom w:type="dxa" w:w="80"/>
              <w:right w:type="dxa" w:w="100"/>
            </w:tcMar>
            <w:vAlign w:val="center"/>
          </w:tcPr>
          <w:p>
            <w:pPr>
              <w:jc w:val="left"/>
            </w:pPr>
            <w:r>
              <w:rPr>
                <w:b w:val="false"/>
                <w:bCs w:val="false"/>
                <w:color w:val="000000"/>
                <w:sz w:val="20"/>
                <w:szCs w:val="20"/>
              </w:rPr>
              <w:t xml:space="preserve">Nom et fonction : ______________________</w:t>
            </w:r>
          </w:p>
        </w:tc>
        <w:tc>
          <w:tcPr>
            <w:tcW w:type="dxa" w:w="4513"/>
            <w:tcMar>
              <w:top w:type="dxa" w:w="80"/>
              <w:left w:type="dxa" w:w="100"/>
              <w:bottom w:type="dxa" w:w="80"/>
              <w:right w:type="dxa" w:w="100"/>
            </w:tcMar>
            <w:vAlign w:val="center"/>
          </w:tcPr>
          <w:p>
            <w:pPr>
              <w:jc w:val="left"/>
            </w:pPr>
            <w:r>
              <w:rPr>
                <w:b w:val="false"/>
                <w:bCs w:val="false"/>
                <w:color w:val="000000"/>
                <w:sz w:val="20"/>
                <w:szCs w:val="20"/>
              </w:rPr>
              <w:t xml:space="preserve">Nom et fonction : Consultant principal</w:t>
            </w:r>
          </w:p>
        </w:tc>
      </w:tr>
      <w:tr>
        <w:tc>
          <w:tcPr>
            <w:tcW w:type="dxa" w:w="4513"/>
            <w:tcMar>
              <w:top w:type="dxa" w:w="80"/>
              <w:left w:type="dxa" w:w="100"/>
              <w:bottom w:type="dxa" w:w="80"/>
              <w:right w:type="dxa" w:w="100"/>
            </w:tcMar>
            <w:vAlign w:val="center"/>
          </w:tcPr>
          <w:p>
            <w:pPr>
              <w:jc w:val="left"/>
            </w:pPr>
            <w:r>
              <w:rPr>
                <w:b w:val="false"/>
                <w:bCs w:val="false"/>
                <w:color w:val="000000"/>
                <w:sz w:val="20"/>
                <w:szCs w:val="20"/>
              </w:rPr>
              <w:t xml:space="preserve">Date : ______________________</w:t>
            </w:r>
          </w:p>
        </w:tc>
        <w:tc>
          <w:tcPr>
            <w:tcW w:type="dxa" w:w="4513"/>
            <w:tcMar>
              <w:top w:type="dxa" w:w="80"/>
              <w:left w:type="dxa" w:w="100"/>
              <w:bottom w:type="dxa" w:w="80"/>
              <w:right w:type="dxa" w:w="100"/>
            </w:tcMar>
            <w:vAlign w:val="center"/>
          </w:tcPr>
          <w:p>
            <w:pPr>
              <w:jc w:val="left"/>
            </w:pPr>
            <w:r>
              <w:rPr>
                <w:b w:val="false"/>
                <w:bCs w:val="false"/>
                <w:color w:val="000000"/>
                <w:sz w:val="20"/>
                <w:szCs w:val="20"/>
              </w:rPr>
              <w:t xml:space="preserve">Date : ______________________</w:t>
            </w:r>
          </w:p>
        </w:tc>
      </w:tr>
      <w:tr>
        <w:tc>
          <w:tcPr>
            <w:tcW w:type="dxa" w:w="4513"/>
            <w:tcMar>
              <w:top w:type="dxa" w:w="300"/>
              <w:left w:type="dxa" w:w="100"/>
              <w:bottom w:type="dxa" w:w="300"/>
              <w:right w:type="dxa" w:w="100"/>
            </w:tcMar>
          </w:tcPr>
          <w:p>
            <w:r>
              <w:rPr>
                <w:sz w:val="20"/>
                <w:szCs w:val="20"/>
              </w:rPr>
              <w:t xml:space="preserve">Signature et mention « Bon pour accord » :</w:t>
            </w:r>
          </w:p>
          <w:p>
            <w:pPr>
              <w:spacing w:before="500"/>
            </w:pPr>
          </w:p>
        </w:tc>
        <w:tc>
          <w:tcPr>
            <w:tcW w:type="dxa" w:w="4513"/>
            <w:tcMar>
              <w:top w:type="dxa" w:w="300"/>
              <w:left w:type="dxa" w:w="100"/>
              <w:bottom w:type="dxa" w:w="300"/>
              <w:right w:type="dxa" w:w="100"/>
            </w:tcMar>
          </w:tcPr>
          <w:p>
            <w:r>
              <w:rPr>
                <w:sz w:val="20"/>
                <w:szCs w:val="20"/>
              </w:rPr>
              <w:t xml:space="preserve">Signature :</w:t>
            </w:r>
          </w:p>
          <w:p>
            <w:pPr>
              <w:spacing w:before="500"/>
            </w:pPr>
          </w:p>
        </w:tc>
      </w:tr>
    </w:tbl>
    <w:p>
      <w:pPr>
        <w:spacing w:before="400"/>
      </w:pPr>
      <w:r>
        <w:rPr>
          <w:i/>
          <w:iCs/>
          <w:color w:val="595959"/>
          <w:sz w:val="16"/>
          <w:szCs w:val="16"/>
        </w:rPr>
        <w:t xml:space="preserve">NEXORIS — Contrat NEX-KSE-2026-002 · Version 1.0 — 13 juillet 2026 · Conseil et ingénierie logicielle</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drawing>
        <wp:inline distT="0" distB="0" distL="0" distR="0">
          <wp:extent cx="4762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266700"/>
                  </a:xfrm>
                  <a:prstGeom prst="rect">
                    <a:avLst/>
                  </a:prstGeom>
                </pic:spPr>
              </pic:pic>
            </a:graphicData>
          </a:graphic>
        </wp:inline>
      </w:drawing>
    </w:r>
    <w:r>
      <w:rPr>
        <w:color w:val="595959"/>
        <w:sz w:val="16"/>
        <w:szCs w:val="16"/>
      </w:rPr>
      <w:t xml:space="preserve">  NEXORIS — Contrat NEX-KSE-2026-002</w:t>
    </w:r>
    <w:r>
      <w:rPr>
        <w:color w:val="595959"/>
        <w:sz w:val="16"/>
        <w:szCs w:val="16"/>
      </w:rPr>
      <w:t xml:space="preserve">	KS Express Service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893c441e03c6774136d313bea7ee2fa93ee82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c893c441e03c6774136d313bea7ee2fa93ee82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2026-07-13T17:58:43.301Z</dcterms:created>
  <dcterms:modified xsi:type="dcterms:W3CDTF">2026-07-13T17:58:43.302Z</dcterms:modified>
</cp:coreProperties>
</file>

<file path=docProps/custom.xml><?xml version="1.0" encoding="utf-8"?>
<Properties xmlns="http://schemas.openxmlformats.org/officeDocument/2006/custom-properties" xmlns:vt="http://schemas.openxmlformats.org/officeDocument/2006/docPropsVTypes"/>
</file>