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footnotes.xml" ContentType="application/vnd.openxmlformats-officedocument.wordprocessingml.footnote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_rels/footnotes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widowControl w:val="false"/>
        <w:tabs>
          <w:tab w:val="clear" w:pos="709"/>
          <w:tab w:val="left" w:pos="5420" w:leader="none"/>
        </w:tabs>
        <w:spacing w:lineRule="auto" w:line="360"/>
        <w:jc w:val="center"/>
        <w:rPr>
          <w:rFonts w:ascii="Times New Roman" w:hAnsi="Times New Roman" w:cs="Times New Roman"/>
          <w:b/>
          <w:b/>
          <w:smallCaps/>
          <w:sz w:val="24"/>
          <w:szCs w:val="24"/>
        </w:rPr>
      </w:pPr>
      <w:r>
        <w:rPr>
          <w:rFonts w:cs="Times New Roman"/>
          <w:b/>
          <w:smallCaps/>
          <w:sz w:val="24"/>
          <w:szCs w:val="24"/>
        </w:rPr>
        <w:t>«НАЦИОНАЛЬНЫЙ ИССЛЕДОВАТЕЛЬСКИЙ УНИВЕРСИТЕТ</w:t>
      </w:r>
    </w:p>
    <w:p>
      <w:pPr>
        <w:pStyle w:val="Normal"/>
        <w:widowControl w:val="false"/>
        <w:tabs>
          <w:tab w:val="clear" w:pos="709"/>
          <w:tab w:val="left" w:pos="5420" w:leader="none"/>
        </w:tabs>
        <w:spacing w:lineRule="auto" w:line="360"/>
        <w:jc w:val="center"/>
        <w:rPr>
          <w:rFonts w:ascii="Times New Roman" w:hAnsi="Times New Roman" w:cs="Times New Roman"/>
          <w:b/>
          <w:b/>
          <w:smallCaps/>
          <w:sz w:val="24"/>
          <w:szCs w:val="24"/>
        </w:rPr>
      </w:pPr>
      <w:r>
        <w:rPr>
          <w:rFonts w:cs="Times New Roman"/>
          <w:b/>
          <w:smallCaps/>
          <w:sz w:val="24"/>
          <w:szCs w:val="24"/>
        </w:rPr>
        <w:t>«ВЫСШАЯ ШКОЛА ЭКОНОМИКИ»</w:t>
      </w:r>
    </w:p>
    <w:p>
      <w:pPr>
        <w:pStyle w:val="6"/>
        <w:spacing w:lineRule="auto" w:line="360"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6"/>
        <w:spacing w:lineRule="auto" w:line="360" w:before="0" w:after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0" w:name="__RefHeading___Toc720_1315981873"/>
      <w:bookmarkEnd w:id="0"/>
      <w:r>
        <w:rPr>
          <w:rFonts w:cs="Times New Roman" w:ascii="Times New Roman" w:hAnsi="Times New Roman"/>
          <w:color w:val="auto"/>
          <w:sz w:val="24"/>
          <w:szCs w:val="24"/>
        </w:rPr>
        <w:t>Центр непрерывного образования</w:t>
      </w:r>
    </w:p>
    <w:p>
      <w:pPr>
        <w:pStyle w:val="6"/>
        <w:spacing w:lineRule="auto" w:line="360" w:before="0" w:after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" w:name="__RefHeading___Toc722_1315981873"/>
      <w:bookmarkEnd w:id="1"/>
      <w:r>
        <w:rPr>
          <w:rFonts w:cs="Times New Roman" w:ascii="Times New Roman" w:hAnsi="Times New Roman"/>
          <w:color w:val="auto"/>
          <w:sz w:val="24"/>
          <w:szCs w:val="24"/>
        </w:rPr>
        <w:t>Факультета компьютерных наук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ИТОГОВЫЙ ПРОЕКТ</w:t>
      </w:r>
    </w:p>
    <w:p>
      <w:pPr>
        <w:pStyle w:val="Normal"/>
        <w:spacing w:before="120" w:after="120"/>
        <w:jc w:val="center"/>
        <w:rPr/>
      </w:pPr>
      <w:r>
        <w:rPr>
          <w:rFonts w:cs="Times New Roman" w:ascii="Arial" w:hAnsi="Arial"/>
          <w:b w:val="false"/>
          <w:i w:val="false"/>
          <w:caps w:val="false"/>
          <w:smallCaps w:val="false"/>
          <w:color w:val="000000"/>
          <w:spacing w:val="0"/>
          <w:sz w:val="20"/>
          <w:szCs w:val="24"/>
          <w:shd w:fill="FFFFFF" w:val="clear"/>
        </w:rPr>
        <w:t>Решение задачи регрессии для многокомпонентных временных рядов для детектирование режимов работы насосного оборудования.</w:t>
      </w:r>
      <w:r>
        <w:rPr>
          <w:rFonts w:cs="Times New Roman"/>
          <w:color w:val="000000"/>
          <w:sz w:val="24"/>
          <w:szCs w:val="24"/>
          <w:shd w:fill="FFFFFF" w:val="clear"/>
        </w:rPr>
        <w:t xml:space="preserve"> </w:t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tbl>
      <w:tblPr>
        <w:tblW w:w="935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27"/>
        <w:gridCol w:w="3628"/>
      </w:tblGrid>
      <w:tr>
        <w:trPr/>
        <w:tc>
          <w:tcPr>
            <w:tcW w:w="5727" w:type="dxa"/>
            <w:tcBorders/>
          </w:tcPr>
          <w:p>
            <w:pPr>
              <w:pStyle w:val="Normal"/>
              <w:widowControl w:val="false"/>
              <w:spacing w:lineRule="auto" w:line="360" w:before="0" w:after="20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3628" w:type="dxa"/>
            <w:tcBorders/>
          </w:tcPr>
          <w:p>
            <w:pPr>
              <w:pStyle w:val="Normal"/>
              <w:widowControl w:val="false"/>
              <w:spacing w:lineRule="auto" w:line="360" w:before="0" w:after="20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  <w:lang w:val="ru-RU" w:bidi="ar-SA"/>
              </w:rPr>
            </w:pPr>
            <w:r>
              <w:rPr>
                <w:rFonts w:cs="Times New Roman"/>
                <w:kern w:val="0"/>
                <w:sz w:val="24"/>
                <w:szCs w:val="24"/>
                <w:lang w:val="ru-RU" w:bidi="ar-SA"/>
              </w:rPr>
              <w:t>Выполнил:</w:t>
            </w:r>
          </w:p>
          <w:p>
            <w:pPr>
              <w:pStyle w:val="Normal"/>
              <w:widowControl w:val="false"/>
              <w:spacing w:lineRule="auto" w:line="360" w:before="0" w:after="20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  <w:lang w:val="ru-RU" w:bidi="ar-SA"/>
              </w:rPr>
            </w:pPr>
            <w:r>
              <w:rPr>
                <w:rFonts w:cs="Times New Roman"/>
                <w:kern w:val="0"/>
                <w:sz w:val="24"/>
                <w:szCs w:val="24"/>
                <w:lang w:val="ru-RU" w:bidi="ar-SA"/>
              </w:rPr>
              <w:t>Сетдеков Кирилл Раильевич</w:t>
            </w:r>
          </w:p>
        </w:tc>
      </w:tr>
      <w:tr>
        <w:trPr/>
        <w:tc>
          <w:tcPr>
            <w:tcW w:w="5727" w:type="dxa"/>
            <w:tcBorders/>
          </w:tcPr>
          <w:p>
            <w:pPr>
              <w:pStyle w:val="Normal"/>
              <w:widowControl w:val="false"/>
              <w:spacing w:lineRule="auto" w:line="360" w:before="0" w:after="20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3628" w:type="dxa"/>
            <w:tcBorders/>
          </w:tcPr>
          <w:p>
            <w:pPr>
              <w:pStyle w:val="Normal"/>
              <w:widowControl w:val="false"/>
              <w:spacing w:lineRule="auto" w:line="360" w:before="0" w:after="20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  <w:tr>
        <w:trPr>
          <w:trHeight w:val="1561" w:hRule="atLeast"/>
        </w:trPr>
        <w:tc>
          <w:tcPr>
            <w:tcW w:w="5727" w:type="dxa"/>
            <w:tcBorders/>
          </w:tcPr>
          <w:p>
            <w:pPr>
              <w:pStyle w:val="Normal"/>
              <w:widowControl w:val="false"/>
              <w:spacing w:lineRule="auto" w:line="360" w:before="0" w:after="20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3628" w:type="dxa"/>
            <w:tcBorders/>
          </w:tcPr>
          <w:p>
            <w:pPr>
              <w:pStyle w:val="Normal"/>
              <w:widowControl w:val="false"/>
              <w:spacing w:lineRule="auto" w:line="360" w:before="0" w:after="20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  <w:lang w:val="ru-RU" w:bidi="ar-SA"/>
              </w:rPr>
            </w:pPr>
            <w:r>
              <w:rPr>
                <w:rFonts w:cs="Times New Roman"/>
                <w:kern w:val="0"/>
                <w:sz w:val="24"/>
                <w:szCs w:val="24"/>
                <w:lang w:val="ru-RU" w:bidi="ar-SA"/>
              </w:rPr>
              <w:t>Руководитель:</w:t>
            </w:r>
          </w:p>
          <w:p>
            <w:pPr>
              <w:pStyle w:val="Normal"/>
              <w:widowControl w:val="false"/>
              <w:spacing w:lineRule="auto" w:line="360" w:before="0" w:after="20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  <w:lang w:val="ru-RU" w:bidi="ar-SA"/>
              </w:rPr>
            </w:pPr>
            <w:r>
              <w:rPr>
                <w:rFonts w:cs="Times New Roman"/>
                <w:kern w:val="0"/>
                <w:sz w:val="24"/>
                <w:szCs w:val="24"/>
                <w:lang w:val="ru-RU" w:bidi="ar-SA"/>
              </w:rPr>
              <w:t>Абдуракипов Сергей Сергеевич</w:t>
            </w:r>
          </w:p>
        </w:tc>
      </w:tr>
    </w:tbl>
    <w:p>
      <w:pPr>
        <w:pStyle w:val="Normal"/>
        <w:rPr>
          <w:rFonts w:ascii="Times New Roman" w:hAnsi="Times New Roman" w:cs="Times New Roman"/>
          <w:strike/>
          <w:sz w:val="24"/>
          <w:szCs w:val="24"/>
        </w:rPr>
      </w:pPr>
      <w:r>
        <w:rPr>
          <w:rFonts w:cs="Times New Roman"/>
          <w:strike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</w:r>
    </w:p>
    <w:p>
      <w:pPr>
        <w:pStyle w:val="Normal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Москва 2021</w:t>
      </w:r>
    </w:p>
    <w:p>
      <w:pPr>
        <w:pStyle w:val="Normal"/>
        <w:jc w:val="center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jc w:val="center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33"/>
            <w:rPr/>
          </w:pPr>
          <w:r>
            <w:br w:type="page"/>
          </w:r>
          <w:r>
            <w:rPr/>
            <w:t>Оглавление</w:t>
          </w:r>
        </w:p>
        <w:p>
          <w:pPr>
            <w:pStyle w:val="11"/>
            <w:tabs>
              <w:tab w:val="clear" w:pos="9638"/>
              <w:tab w:val="right" w:pos="9355" w:leader="dot"/>
            </w:tabs>
            <w:rPr/>
          </w:pPr>
          <w:r>
            <w:fldChar w:fldCharType="begin"/>
          </w:r>
          <w:r>
            <w:rPr/>
            <w:instrText> TOC \f \o "1-3" \h</w:instrText>
          </w:r>
          <w:r>
            <w:rPr/>
            <w:fldChar w:fldCharType="separate"/>
          </w:r>
          <w:hyperlink w:anchor="__RefHeading___Toc3502_3228052382">
            <w:r>
              <w:rPr/>
              <w:t>Введение</w:t>
              <w:tab/>
              <w:t>3</w:t>
            </w:r>
          </w:hyperlink>
        </w:p>
        <w:p>
          <w:pPr>
            <w:pStyle w:val="11"/>
            <w:tabs>
              <w:tab w:val="clear" w:pos="9638"/>
              <w:tab w:val="right" w:pos="9355" w:leader="dot"/>
            </w:tabs>
            <w:rPr/>
          </w:pPr>
          <w:hyperlink w:anchor="__RefHeading___Toc3504_3228052382">
            <w:r>
              <w:rPr/>
              <w:t>Обзор литературы</w:t>
              <w:tab/>
              <w:t>3</w:t>
            </w:r>
          </w:hyperlink>
        </w:p>
        <w:p>
          <w:pPr>
            <w:pStyle w:val="11"/>
            <w:tabs>
              <w:tab w:val="clear" w:pos="9638"/>
              <w:tab w:val="right" w:pos="9355" w:leader="dot"/>
            </w:tabs>
            <w:rPr/>
          </w:pPr>
          <w:hyperlink w:anchor="__RefHeading___Toc3516_3228052382">
            <w:r>
              <w:rPr/>
              <w:t>Методы</w:t>
              <w:tab/>
              <w:t>7</w:t>
            </w:r>
          </w:hyperlink>
        </w:p>
        <w:p>
          <w:pPr>
            <w:pStyle w:val="11"/>
            <w:tabs>
              <w:tab w:val="clear" w:pos="9638"/>
              <w:tab w:val="right" w:pos="9355" w:leader="dot"/>
            </w:tabs>
            <w:rPr/>
          </w:pPr>
          <w:hyperlink w:anchor="__RefHeading___Toc3518_3228052382">
            <w:r>
              <w:rPr/>
              <w:t>Эксперименты</w:t>
              <w:tab/>
              <w:t>8</w:t>
            </w:r>
          </w:hyperlink>
        </w:p>
        <w:p>
          <w:pPr>
            <w:pStyle w:val="21"/>
            <w:rPr/>
          </w:pPr>
          <w:hyperlink w:anchor="__RefHeading___Toc724_1315981873">
            <w:r>
              <w:rPr/>
              <w:t>Описание данных</w:t>
              <w:tab/>
              <w:t>8</w:t>
            </w:r>
          </w:hyperlink>
        </w:p>
        <w:p>
          <w:pPr>
            <w:pStyle w:val="21"/>
            <w:rPr/>
          </w:pPr>
          <w:hyperlink w:anchor="__RefHeading___Toc2373_2022857931">
            <w:r>
              <w:rPr/>
              <w:t>Предобработка данных</w:t>
              <w:tab/>
              <w:t>11</w:t>
            </w:r>
          </w:hyperlink>
        </w:p>
        <w:p>
          <w:pPr>
            <w:pStyle w:val="21"/>
            <w:rPr/>
          </w:pPr>
          <w:hyperlink w:anchor="__RefHeading___Toc2375_2022857931">
            <w:r>
              <w:rPr/>
              <w:t>Построение моделей</w:t>
              <w:tab/>
              <w:t>12</w:t>
            </w:r>
          </w:hyperlink>
        </w:p>
        <w:p>
          <w:pPr>
            <w:pStyle w:val="21"/>
            <w:rPr/>
          </w:pPr>
          <w:hyperlink w:anchor="__RefHeading___Toc2377_2022857931">
            <w:r>
              <w:rPr/>
              <w:t>Результаты построения моделей</w:t>
              <w:tab/>
              <w:t>13</w:t>
            </w:r>
          </w:hyperlink>
        </w:p>
        <w:p>
          <w:pPr>
            <w:pStyle w:val="11"/>
            <w:tabs>
              <w:tab w:val="clear" w:pos="9638"/>
              <w:tab w:val="right" w:pos="9355" w:leader="dot"/>
            </w:tabs>
            <w:rPr/>
          </w:pPr>
          <w:hyperlink w:anchor="__RefHeading___Toc3520_3228052382">
            <w:r>
              <w:rPr/>
              <w:t>Заключение</w:t>
              <w:tab/>
              <w:t>16</w:t>
            </w:r>
          </w:hyperlink>
        </w:p>
        <w:p>
          <w:pPr>
            <w:pStyle w:val="11"/>
            <w:tabs>
              <w:tab w:val="clear" w:pos="9638"/>
              <w:tab w:val="right" w:pos="9355" w:leader="dot"/>
            </w:tabs>
            <w:rPr/>
          </w:pPr>
          <w:hyperlink w:anchor="__RefHeading___Toc3522_3228052382">
            <w:r>
              <w:rPr/>
              <w:t>Приложения</w:t>
              <w:tab/>
              <w:t>17</w:t>
            </w:r>
          </w:hyperlink>
        </w:p>
        <w:p>
          <w:pPr>
            <w:pStyle w:val="21"/>
            <w:rPr/>
          </w:pPr>
          <w:hyperlink w:anchor="__RefHeading___Toc726_1315981873">
            <w:r>
              <w:rPr/>
              <w:t>Приложение 1. Гиперпараметры для моделей</w:t>
              <w:tab/>
              <w:t>17</w:t>
            </w:r>
          </w:hyperlink>
        </w:p>
        <w:p>
          <w:pPr>
            <w:pStyle w:val="31"/>
            <w:tabs>
              <w:tab w:val="clear" w:pos="8788"/>
              <w:tab w:val="right" w:pos="9355" w:leader="dot"/>
            </w:tabs>
            <w:rPr/>
          </w:pPr>
          <w:hyperlink w:anchor="__RefHeading___Toc2379_2022857931">
            <w:r>
              <w:rPr/>
              <w:t>LAMA</w:t>
              <w:tab/>
              <w:t>17</w:t>
            </w:r>
          </w:hyperlink>
        </w:p>
        <w:p>
          <w:pPr>
            <w:pStyle w:val="31"/>
            <w:tabs>
              <w:tab w:val="clear" w:pos="8788"/>
              <w:tab w:val="right" w:pos="9355" w:leader="dot"/>
            </w:tabs>
            <w:rPr/>
          </w:pPr>
          <w:hyperlink w:anchor="__RefHeading___Toc2381_2022857931">
            <w:r>
              <w:rPr/>
              <w:t>TCN</w:t>
              <w:tab/>
              <w:t>18</w:t>
            </w:r>
          </w:hyperlink>
        </w:p>
        <w:p>
          <w:pPr>
            <w:pStyle w:val="31"/>
            <w:tabs>
              <w:tab w:val="clear" w:pos="8788"/>
              <w:tab w:val="right" w:pos="9355" w:leader="dot"/>
            </w:tabs>
            <w:rPr/>
          </w:pPr>
          <w:hyperlink w:anchor="__RefHeading___Toc2383_2022857931">
            <w:r>
              <w:rPr/>
              <w:t>N-Beats</w:t>
              <w:tab/>
              <w:t>18</w:t>
            </w:r>
          </w:hyperlink>
        </w:p>
        <w:p>
          <w:pPr>
            <w:pStyle w:val="31"/>
            <w:tabs>
              <w:tab w:val="clear" w:pos="8788"/>
              <w:tab w:val="right" w:pos="9355" w:leader="dot"/>
            </w:tabs>
            <w:rPr/>
          </w:pPr>
          <w:hyperlink w:anchor="__RefHeading___Toc2385_2022857931">
            <w:r>
              <w:rPr/>
              <w:t>Transformer</w:t>
              <w:tab/>
              <w:t>19</w:t>
            </w:r>
          </w:hyperlink>
        </w:p>
        <w:p>
          <w:pPr>
            <w:pStyle w:val="21"/>
            <w:rPr/>
          </w:pPr>
          <w:hyperlink w:anchor="__RefHeading___Toc2387_2022857931">
            <w:r>
              <w:rPr/>
              <w:t>Приложение 2. p-value для теста на равенство средних значений соответствующего эмбеддинга из Catch22 в группах насосов, где метод работал выше и ниже медианы по SMAPE</w:t>
              <w:tab/>
              <w:t>20</w:t>
            </w:r>
          </w:hyperlink>
        </w:p>
        <w:p>
          <w:pPr>
            <w:pStyle w:val="21"/>
            <w:rPr/>
          </w:pPr>
          <w:hyperlink w:anchor="__RefHeading___Toc2199_2022857931">
            <w:r>
              <w:rPr/>
              <w:t>Приложение 3. график остатков модели в зависимости от истинного значения и Q-Q графики распределения остатков</w:t>
              <w:tab/>
              <w:t>20</w:t>
            </w:r>
          </w:hyperlink>
        </w:p>
        <w:p>
          <w:pPr>
            <w:pStyle w:val="11"/>
            <w:tabs>
              <w:tab w:val="clear" w:pos="9638"/>
              <w:tab w:val="right" w:pos="9355" w:leader="dot"/>
            </w:tabs>
            <w:rPr/>
          </w:pPr>
          <w:hyperlink w:anchor="__RefHeading___Toc5291_2022857931">
            <w:r>
              <w:rPr/>
              <w:t>Список литературы</w:t>
              <w:tab/>
              <w:t>21</w:t>
            </w:r>
          </w:hyperlink>
          <w:r>
            <w:rPr/>
            <w:fldChar w:fldCharType="end"/>
          </w:r>
        </w:p>
      </w:sdtContent>
    </w:sdt>
    <w:p>
      <w:pPr>
        <w:pStyle w:val="1"/>
        <w:numPr>
          <w:ilvl w:val="0"/>
          <w:numId w:val="0"/>
        </w:numPr>
        <w:spacing w:before="240" w:after="120"/>
        <w:rPr>
          <w:rFonts w:ascii="Times New Roman" w:hAnsi="Times New Roman" w:eastAsia="NSimSun"/>
          <w:b/>
          <w:b/>
          <w:bCs/>
          <w:sz w:val="48"/>
          <w:szCs w:val="48"/>
        </w:rPr>
      </w:pPr>
      <w:r>
        <w:rPr>
          <w:rFonts w:eastAsia="NSimSun"/>
          <w:b/>
          <w:bCs/>
          <w:sz w:val="48"/>
          <w:szCs w:val="48"/>
        </w:rPr>
      </w:r>
      <w:r>
        <w:br w:type="page"/>
      </w:r>
    </w:p>
    <w:p>
      <w:pPr>
        <w:pStyle w:val="1"/>
        <w:rPr/>
      </w:pPr>
      <w:bookmarkStart w:id="2" w:name="__RefHeading___Toc3502_3228052382"/>
      <w:bookmarkEnd w:id="2"/>
      <w:r>
        <w:rPr/>
        <w:t>Введение</w:t>
      </w:r>
    </w:p>
    <w:p>
      <w:pPr>
        <w:pStyle w:val="Normal"/>
        <w:rPr>
          <w:rFonts w:ascii="Times New Roman" w:hAnsi="Times New Roman"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В настоящее время на фоне бума развития свёрточных нейронных сетей в задачах обработки изображения и трансформеров для задач обработки естественного языка и перевода, ожидаемо что исследователи проводят эксперименты по использованию этих подходов для временных рядов. В частности, для задач прогнозирования </w:t>
      </w:r>
      <w:r>
        <w:rPr>
          <w:rFonts w:eastAsia="NSimSun" w:cs="Arial"/>
          <w:b w:val="false"/>
          <w:i w:val="false"/>
          <w:caps w:val="false"/>
          <w:smallCaps w:val="false"/>
          <w:color w:val="000000"/>
          <w:spacing w:val="0"/>
          <w:kern w:val="2"/>
          <w:sz w:val="28"/>
          <w:szCs w:val="24"/>
          <w:shd w:fill="FFFFFF" w:val="clear"/>
          <w:lang w:val="ru-RU" w:eastAsia="zh-CN" w:bidi="hi-IN"/>
        </w:rPr>
        <w:t>многокомпонентных временных рядов сверточные сети, трансформеры</w:t>
      </w:r>
      <w:r>
        <w:rPr>
          <w:rFonts w:eastAsia="NSimSun" w:cs="Arial"/>
          <w:b w:val="false"/>
          <w:i w:val="false"/>
          <w:caps w:val="false"/>
          <w:smallCaps w:val="false"/>
          <w:color w:val="000000"/>
          <w:spacing w:val="0"/>
          <w:kern w:val="2"/>
          <w:sz w:val="28"/>
          <w:szCs w:val="24"/>
          <w:shd w:fill="FFFFFF" w:val="clear"/>
          <w:lang w:val="ru-RU" w:eastAsia="zh-CN" w:bidi="hi-IN"/>
        </w:rPr>
        <w:fldChar w:fldCharType="begin"/>
      </w:r>
      <w:r>
        <w:rPr>
          <w:smallCaps w:val="false"/>
          <w:caps w:val="false"/>
          <w:sz w:val="28"/>
          <w:spacing w:val="0"/>
          <w:i w:val="false"/>
          <w:b w:val="false"/>
          <w:kern w:val="2"/>
          <w:shd w:fill="FFFFFF" w:val="clear"/>
          <w:szCs w:val="24"/>
          <w:rFonts w:eastAsia="NSimSun" w:cs="Arial"/>
          <w:color w:val="000000"/>
          <w:lang w:val="ru-RU" w:eastAsia="zh-CN" w:bidi="hi-IN"/>
        </w:rPr>
        <w:instrText> CITATION  "1"</w:instrText>
      </w:r>
      <w:r>
        <w:rPr>
          <w:smallCaps w:val="false"/>
          <w:caps w:val="false"/>
          <w:sz w:val="28"/>
          <w:spacing w:val="0"/>
          <w:i w:val="false"/>
          <w:b w:val="false"/>
          <w:kern w:val="2"/>
          <w:shd w:fill="FFFFFF" w:val="clear"/>
          <w:szCs w:val="24"/>
          <w:rFonts w:eastAsia="NSimSun" w:cs="Arial"/>
          <w:color w:val="000000"/>
          <w:lang w:val="ru-RU" w:eastAsia="zh-CN" w:bidi="hi-IN"/>
        </w:rPr>
        <w:fldChar w:fldCharType="separate"/>
      </w:r>
      <w:r>
        <w:rPr>
          <w:smallCaps w:val="false"/>
          <w:caps w:val="false"/>
          <w:sz w:val="28"/>
          <w:spacing w:val="0"/>
          <w:i w:val="false"/>
          <w:b w:val="false"/>
          <w:kern w:val="2"/>
          <w:shd w:fill="FFFFFF" w:val="clear"/>
          <w:szCs w:val="24"/>
          <w:rFonts w:eastAsia="NSimSun" w:cs="Arial"/>
          <w:color w:val="000000"/>
          <w:lang w:val="ru-RU" w:eastAsia="zh-CN" w:bidi="hi-IN"/>
        </w:rPr>
        <w:t>1</w:t>
      </w:r>
      <w:r>
        <w:rPr>
          <w:smallCaps w:val="false"/>
          <w:caps w:val="false"/>
          <w:sz w:val="28"/>
          <w:spacing w:val="0"/>
          <w:i w:val="false"/>
          <w:b w:val="false"/>
          <w:kern w:val="2"/>
          <w:shd w:fill="FFFFFF" w:val="clear"/>
          <w:szCs w:val="24"/>
          <w:rFonts w:eastAsia="NSimSun" w:cs="Arial"/>
          <w:color w:val="000000"/>
          <w:lang w:val="ru-RU" w:eastAsia="zh-CN" w:bidi="hi-IN"/>
        </w:rPr>
        <w:fldChar w:fldCharType="end"/>
      </w:r>
      <w:r>
        <w:rPr>
          <w:rFonts w:eastAsia="NSimSun" w:cs="Arial"/>
          <w:b w:val="false"/>
          <w:i w:val="false"/>
          <w:caps w:val="false"/>
          <w:smallCaps w:val="false"/>
          <w:color w:val="000000"/>
          <w:spacing w:val="0"/>
          <w:kern w:val="2"/>
          <w:sz w:val="28"/>
          <w:szCs w:val="24"/>
          <w:shd w:fill="FFFFFF" w:val="clear"/>
          <w:lang w:val="ru-RU" w:eastAsia="zh-CN" w:bidi="hi-IN"/>
        </w:rPr>
        <w:t xml:space="preserve"> и подходы развивающие эти идеи дальше показали большой прогресс. Новые подходы вытеснили более традиционные для временных рядов модели с сезонностями или авторегрессионные модели из верних строчек бенчмарков в последние 3 года. В этой работе я рассмотрю несколько из видов </w:t>
      </w:r>
      <w:r>
        <w:rPr>
          <w:rFonts w:eastAsia="NSimSun" w:cs="Arial"/>
          <w:b w:val="false"/>
          <w:i w:val="false"/>
          <w:caps w:val="false"/>
          <w:smallCaps w:val="false"/>
          <w:color w:val="000000"/>
          <w:spacing w:val="0"/>
          <w:kern w:val="2"/>
          <w:sz w:val="28"/>
          <w:szCs w:val="24"/>
          <w:shd w:fill="FFFFFF" w:val="clear"/>
          <w:lang w:val="ru-RU" w:eastAsia="zh-CN" w:bidi="hi-IN"/>
        </w:rPr>
        <w:t xml:space="preserve">самых </w:t>
      </w:r>
      <w:r>
        <w:rPr>
          <w:rFonts w:eastAsia="NSimSun" w:cs="Arial"/>
          <w:b w:val="false"/>
          <w:i w:val="false"/>
          <w:caps w:val="false"/>
          <w:smallCaps w:val="false"/>
          <w:color w:val="000000"/>
          <w:spacing w:val="0"/>
          <w:kern w:val="2"/>
          <w:sz w:val="28"/>
          <w:szCs w:val="24"/>
          <w:shd w:fill="FFFFFF" w:val="clear"/>
          <w:lang w:val="ru-RU" w:eastAsia="zh-CN" w:bidi="hi-IN"/>
        </w:rPr>
        <w:t xml:space="preserve">современных </w:t>
      </w:r>
      <w:r>
        <w:rPr>
          <w:rFonts w:eastAsia="NSimSun" w:cs="Arial"/>
          <w:b w:val="false"/>
          <w:i w:val="false"/>
          <w:caps w:val="false"/>
          <w:smallCaps w:val="false"/>
          <w:color w:val="000000"/>
          <w:spacing w:val="0"/>
          <w:kern w:val="2"/>
          <w:sz w:val="28"/>
          <w:szCs w:val="24"/>
          <w:shd w:fill="FFFFFF" w:val="clear"/>
          <w:lang w:val="ru-RU" w:eastAsia="zh-CN" w:bidi="hi-IN"/>
        </w:rPr>
        <w:t>подходов (</w:t>
      </w:r>
      <w:r>
        <w:rPr>
          <w:rFonts w:eastAsia="NSimSun" w:cs="Arial"/>
          <w:b w:val="false"/>
          <w:i w:val="false"/>
          <w:caps w:val="false"/>
          <w:smallCaps w:val="false"/>
          <w:color w:val="000000"/>
          <w:spacing w:val="0"/>
          <w:kern w:val="2"/>
          <w:sz w:val="28"/>
          <w:szCs w:val="24"/>
          <w:shd w:fill="FFFFFF" w:val="clear"/>
          <w:lang w:val="en-US" w:eastAsia="zh-CN" w:bidi="hi-IN"/>
        </w:rPr>
        <w:t xml:space="preserve">SOTA) </w:t>
      </w:r>
      <w:r>
        <w:rPr>
          <w:rFonts w:eastAsia="NSimSun" w:cs="Arial"/>
          <w:b w:val="false"/>
          <w:i w:val="false"/>
          <w:caps w:val="false"/>
          <w:smallCaps w:val="false"/>
          <w:color w:val="000000"/>
          <w:spacing w:val="0"/>
          <w:kern w:val="2"/>
          <w:sz w:val="28"/>
          <w:szCs w:val="24"/>
          <w:shd w:fill="FFFFFF" w:val="clear"/>
          <w:lang w:val="ru-RU" w:eastAsia="zh-CN" w:bidi="hi-IN"/>
        </w:rPr>
        <w:t>и проанализирую их применимость к задаче прогнозирования параметров работы центрабежных погружных насосов, используемых в нефтедобыче.</w:t>
      </w:r>
    </w:p>
    <w:p>
      <w:pPr>
        <w:pStyle w:val="1"/>
        <w:rPr/>
      </w:pPr>
      <w:bookmarkStart w:id="3" w:name="__RefHeading___Toc3504_3228052382"/>
      <w:bookmarkEnd w:id="3"/>
      <w:r>
        <w:rPr/>
        <w:t>Обзор литературы</w:t>
      </w:r>
    </w:p>
    <w:p>
      <w:pPr>
        <w:pStyle w:val="Normal"/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Для поиска наиболее современных подходов я использовал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результаты сравнения моделей на сайте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>papers with code</w:t>
      </w:r>
      <w:r>
        <w:rPr>
          <w:rStyle w:val="Style13"/>
          <w:rFonts w:eastAsia="NSimSun" w:cs="Arial"/>
          <w:color w:val="auto"/>
          <w:kern w:val="2"/>
          <w:sz w:val="28"/>
          <w:szCs w:val="24"/>
          <w:lang w:val="en-US" w:eastAsia="zh-CN" w:bidi="hi-IN"/>
        </w:rPr>
        <w:footnoteReference w:id="2"/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по бенчмарку </w:t>
      </w:r>
      <w:r>
        <w:rPr>
          <w:rFonts w:eastAsia="NSimSun" w:cs="Arial"/>
          <w:color w:val="000000"/>
          <w:kern w:val="2"/>
          <w:sz w:val="28"/>
          <w:szCs w:val="24"/>
          <w:lang w:val="ru-RU" w:eastAsia="zh-CN" w:bidi="hi-IN"/>
        </w:rPr>
        <w:t xml:space="preserve">ETTh2 (720). Содержательно это часовые данные за 2 года, где измеряют качество прогноза на 30 дней, для данных по температуре трансформатора от 7 зависимых переменных. Этот бенчмарк наиболее сопоставим с теми данными, которые </w:t>
      </w:r>
      <w:r>
        <w:rPr>
          <w:rFonts w:eastAsia="NSimSun" w:cs="Arial"/>
          <w:color w:val="000000"/>
          <w:kern w:val="2"/>
          <w:sz w:val="28"/>
          <w:szCs w:val="24"/>
          <w:lang w:val="ru-RU" w:eastAsia="zh-CN" w:bidi="hi-IN"/>
        </w:rPr>
        <w:t xml:space="preserve">я использовал далее для анализа в части </w:t>
      </w:r>
      <w:r>
        <w:rPr>
          <w:rFonts w:eastAsia="NSimSun" w:cs="Arial"/>
          <w:color w:val="000000"/>
          <w:kern w:val="2"/>
          <w:sz w:val="28"/>
          <w:szCs w:val="24"/>
          <w:lang w:val="ru-RU" w:eastAsia="zh-CN" w:bidi="hi-IN"/>
        </w:rPr>
        <w:t>размерности и является наиболее сложным вариантом бенчмарка.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 xml:space="preserve">На основе сравнения методов по </w:t>
      </w:r>
      <w:r>
        <w:rPr>
          <w:lang w:val="en-US"/>
        </w:rPr>
        <w:t>MAE</w:t>
      </w:r>
      <w:r>
        <w:rPr/>
        <w:t xml:space="preserve"> на наборе данных </w:t>
      </w:r>
      <w:r>
        <w:rPr>
          <w:color w:val="000000"/>
        </w:rPr>
        <w:t>ETTh2 (720), можно выделить 4 продвинутых подходов к прогнозированию временных рядом. Перечисляю их в порядке снижения качества прогнозирования:</w:t>
      </w:r>
    </w:p>
    <w:p>
      <w:pPr>
        <w:pStyle w:val="Standard"/>
        <w:rPr/>
      </w:pPr>
      <w:r>
        <w:rPr/>
      </w:r>
    </w:p>
    <w:tbl>
      <w:tblPr>
        <w:tblW w:w="9355" w:type="dxa"/>
        <w:jc w:val="left"/>
        <w:tblInd w:w="0" w:type="dxa"/>
        <w:tblLayout w:type="fixed"/>
        <w:tblCellMar>
          <w:top w:w="0" w:type="dxa"/>
          <w:left w:w="0" w:type="dxa"/>
          <w:bottom w:w="225" w:type="dxa"/>
          <w:right w:w="0" w:type="dxa"/>
        </w:tblCellMar>
      </w:tblPr>
      <w:tblGrid>
        <w:gridCol w:w="451"/>
        <w:gridCol w:w="1594"/>
        <w:gridCol w:w="845"/>
        <w:gridCol w:w="1186"/>
        <w:gridCol w:w="4201"/>
        <w:gridCol w:w="1078"/>
      </w:tblGrid>
      <w:tr>
        <w:trPr>
          <w:tblHeader w:val="true"/>
        </w:trPr>
        <w:tc>
          <w:tcPr>
            <w:tcW w:w="451" w:type="dxa"/>
            <w:tcBorders>
              <w:bottom w:val="single" w:sz="2" w:space="0" w:color="E1E1E1"/>
            </w:tcBorders>
            <w:shd w:fill="FFFFFF" w:val="clear"/>
            <w:vAlign w:val="center"/>
          </w:tcPr>
          <w:p>
            <w:pPr>
              <w:pStyle w:val="Style25"/>
              <w:widowControl w:val="false"/>
              <w:rPr>
                <w:color w:val="6F787D"/>
                <w:spacing w:val="15"/>
                <w:sz w:val="18"/>
              </w:rPr>
            </w:pPr>
            <w:r>
              <w:rPr>
                <w:color w:val="6F787D"/>
                <w:spacing w:val="15"/>
                <w:sz w:val="18"/>
              </w:rPr>
              <w:t>Ранг</w:t>
            </w:r>
          </w:p>
        </w:tc>
        <w:tc>
          <w:tcPr>
            <w:tcW w:w="1594" w:type="dxa"/>
            <w:tcBorders>
              <w:bottom w:val="single" w:sz="2" w:space="0" w:color="E1E1E1"/>
            </w:tcBorders>
            <w:shd w:fill="FFFFFF" w:val="clear"/>
            <w:vAlign w:val="center"/>
          </w:tcPr>
          <w:p>
            <w:pPr>
              <w:pStyle w:val="Style25"/>
              <w:widowControl w:val="false"/>
              <w:rPr>
                <w:color w:val="6F787D"/>
                <w:spacing w:val="15"/>
                <w:sz w:val="18"/>
              </w:rPr>
            </w:pPr>
            <w:r>
              <w:rPr>
                <w:color w:val="6F787D"/>
                <w:spacing w:val="15"/>
                <w:sz w:val="18"/>
              </w:rPr>
              <w:t>Модель</w:t>
            </w:r>
          </w:p>
        </w:tc>
        <w:tc>
          <w:tcPr>
            <w:tcW w:w="845" w:type="dxa"/>
            <w:tcBorders>
              <w:bottom w:val="single" w:sz="2" w:space="0" w:color="E1E1E1"/>
            </w:tcBorders>
            <w:shd w:fill="FFFFFF" w:val="clear"/>
            <w:vAlign w:val="center"/>
          </w:tcPr>
          <w:p>
            <w:pPr>
              <w:pStyle w:val="Style25"/>
              <w:widowControl w:val="false"/>
              <w:rPr>
                <w:color w:val="6F787D"/>
                <w:spacing w:val="15"/>
                <w:sz w:val="18"/>
              </w:rPr>
            </w:pPr>
            <w:r>
              <w:rPr>
                <w:color w:val="6F787D"/>
                <w:spacing w:val="15"/>
                <w:sz w:val="18"/>
              </w:rPr>
              <w:t>MAE</w:t>
            </w:r>
          </w:p>
        </w:tc>
        <w:tc>
          <w:tcPr>
            <w:tcW w:w="1186" w:type="dxa"/>
            <w:tcBorders>
              <w:bottom w:val="single" w:sz="2" w:space="0" w:color="E1E1E1"/>
            </w:tcBorders>
            <w:shd w:fill="FFFFFF" w:val="clear"/>
            <w:vAlign w:val="center"/>
          </w:tcPr>
          <w:p>
            <w:pPr>
              <w:pStyle w:val="Style25"/>
              <w:widowControl w:val="false"/>
              <w:rPr>
                <w:b w:val="false"/>
                <w:b w:val="false"/>
                <w:color w:val="6F787D"/>
                <w:spacing w:val="15"/>
                <w:sz w:val="18"/>
              </w:rPr>
            </w:pPr>
            <w:r>
              <w:rPr>
                <w:b w:val="false"/>
                <w:color w:val="6F787D"/>
                <w:spacing w:val="15"/>
                <w:sz w:val="18"/>
              </w:rPr>
              <w:t>MSE</w:t>
            </w:r>
          </w:p>
        </w:tc>
        <w:tc>
          <w:tcPr>
            <w:tcW w:w="4201" w:type="dxa"/>
            <w:tcBorders>
              <w:bottom w:val="single" w:sz="2" w:space="0" w:color="E1E1E1"/>
            </w:tcBorders>
            <w:shd w:fill="FFFFFF" w:val="clear"/>
            <w:vAlign w:val="center"/>
          </w:tcPr>
          <w:p>
            <w:pPr>
              <w:pStyle w:val="Style25"/>
              <w:widowControl w:val="false"/>
              <w:rPr>
                <w:color w:val="6F787D"/>
                <w:spacing w:val="15"/>
                <w:sz w:val="18"/>
              </w:rPr>
            </w:pPr>
            <w:r>
              <w:rPr>
                <w:color w:val="6F787D"/>
                <w:spacing w:val="15"/>
                <w:sz w:val="18"/>
              </w:rPr>
              <w:t>Статья</w:t>
            </w:r>
          </w:p>
        </w:tc>
        <w:tc>
          <w:tcPr>
            <w:tcW w:w="1078" w:type="dxa"/>
            <w:tcBorders>
              <w:bottom w:val="single" w:sz="2" w:space="0" w:color="E1E1E1"/>
            </w:tcBorders>
            <w:shd w:fill="FFFFFF" w:val="clear"/>
            <w:vAlign w:val="center"/>
          </w:tcPr>
          <w:p>
            <w:pPr>
              <w:pStyle w:val="Style25"/>
              <w:widowControl w:val="false"/>
              <w:rPr>
                <w:color w:val="6F787D"/>
                <w:spacing w:val="15"/>
                <w:sz w:val="18"/>
              </w:rPr>
            </w:pPr>
            <w:r>
              <w:rPr>
                <w:color w:val="6F787D"/>
                <w:spacing w:val="15"/>
                <w:sz w:val="18"/>
              </w:rPr>
              <w:t>Год</w:t>
            </w:r>
          </w:p>
        </w:tc>
      </w:tr>
      <w:tr>
        <w:trPr/>
        <w:tc>
          <w:tcPr>
            <w:tcW w:w="451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94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ind w:left="45" w:right="0" w:hanging="0"/>
              <w:rPr/>
            </w:pPr>
            <w:hyperlink r:id="rId2">
              <w:r>
                <w:rPr>
                  <w:b/>
                  <w:color w:val="000000"/>
                  <w:sz w:val="24"/>
                  <w:szCs w:val="24"/>
                </w:rPr>
                <w:t>SCINet</w:t>
                <w:br/>
              </w:r>
            </w:hyperlink>
            <w:hyperlink r:id="rId3">
              <w:r>
                <w:rPr>
                  <w:color w:val="000000"/>
                  <w:sz w:val="24"/>
                  <w:szCs w:val="24"/>
                </w:rPr>
                <w:t>(</w:t>
              </w:r>
            </w:hyperlink>
            <w:hyperlink r:id="rId4">
              <w:r>
                <w:rPr>
                  <w:color w:val="000000"/>
                  <w:sz w:val="24"/>
                  <w:szCs w:val="24"/>
                </w:rPr>
                <w:t>Одномерная</w:t>
              </w:r>
            </w:hyperlink>
            <w:hyperlink r:id="rId5">
              <w:r>
                <w:rPr>
                  <w:color w:val="000000"/>
                  <w:sz w:val="24"/>
                  <w:szCs w:val="24"/>
                </w:rPr>
                <w:t>)</w:t>
              </w:r>
            </w:hyperlink>
          </w:p>
        </w:tc>
        <w:tc>
          <w:tcPr>
            <w:tcW w:w="845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0.399</w:t>
            </w:r>
          </w:p>
        </w:tc>
        <w:tc>
          <w:tcPr>
            <w:tcW w:w="1186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0.249</w:t>
            </w:r>
          </w:p>
        </w:tc>
        <w:tc>
          <w:tcPr>
            <w:tcW w:w="4201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hyperlink r:id="rId6">
              <w:r>
                <w:rPr>
                  <w:color w:val="0096B1"/>
                  <w:sz w:val="24"/>
                  <w:szCs w:val="24"/>
                  <w:lang w:val="en-US"/>
                </w:rPr>
                <w:t>Time Series is a Special Sequence: Forecasting with Sample Convolution and Interaction</w:t>
              </w:r>
            </w:hyperlink>
          </w:p>
        </w:tc>
        <w:tc>
          <w:tcPr>
            <w:tcW w:w="1078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2021</w:t>
            </w:r>
          </w:p>
        </w:tc>
      </w:tr>
      <w:tr>
        <w:trPr/>
        <w:tc>
          <w:tcPr>
            <w:tcW w:w="451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594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hyperlink r:id="rId7">
              <w:r>
                <w:rPr>
                  <w:b/>
                  <w:color w:val="000000"/>
                  <w:sz w:val="24"/>
                  <w:szCs w:val="24"/>
                </w:rPr>
                <w:t>QuerySelector</w:t>
              </w:r>
            </w:hyperlink>
          </w:p>
        </w:tc>
        <w:tc>
          <w:tcPr>
            <w:tcW w:w="845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0.4130</w:t>
            </w:r>
          </w:p>
        </w:tc>
        <w:tc>
          <w:tcPr>
            <w:tcW w:w="1186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0.2585</w:t>
            </w:r>
          </w:p>
        </w:tc>
        <w:tc>
          <w:tcPr>
            <w:tcW w:w="4201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hyperlink r:id="rId8">
              <w:r>
                <w:rPr>
                  <w:color w:val="0096B1"/>
                  <w:sz w:val="24"/>
                  <w:szCs w:val="24"/>
                  <w:lang w:val="en-US"/>
                </w:rPr>
                <w:t>Long-term series forecasting with Query Selector - efficient model of sparse attention</w:t>
              </w:r>
            </w:hyperlink>
          </w:p>
        </w:tc>
        <w:tc>
          <w:tcPr>
            <w:tcW w:w="1078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2021</w:t>
            </w:r>
          </w:p>
        </w:tc>
      </w:tr>
      <w:tr>
        <w:trPr/>
        <w:tc>
          <w:tcPr>
            <w:tcW w:w="451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594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hyperlink r:id="rId9">
              <w:r>
                <w:rPr>
                  <w:b/>
                  <w:color w:val="000000"/>
                  <w:sz w:val="24"/>
                  <w:szCs w:val="24"/>
                </w:rPr>
                <w:t>Informer</w:t>
              </w:r>
            </w:hyperlink>
          </w:p>
        </w:tc>
        <w:tc>
          <w:tcPr>
            <w:tcW w:w="845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0.431</w:t>
            </w:r>
          </w:p>
        </w:tc>
        <w:tc>
          <w:tcPr>
            <w:tcW w:w="1186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0.277</w:t>
            </w:r>
          </w:p>
        </w:tc>
        <w:tc>
          <w:tcPr>
            <w:tcW w:w="4201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hyperlink r:id="rId10">
              <w:r>
                <w:rPr>
                  <w:color w:val="0096B1"/>
                  <w:sz w:val="24"/>
                  <w:szCs w:val="24"/>
                  <w:lang w:val="en-US"/>
                </w:rPr>
                <w:t>Informer: Beyond Efficient Transformer for Long Sequence Time-Series Forecasting</w:t>
              </w:r>
            </w:hyperlink>
          </w:p>
        </w:tc>
        <w:tc>
          <w:tcPr>
            <w:tcW w:w="1078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2020</w:t>
            </w:r>
          </w:p>
        </w:tc>
      </w:tr>
      <w:tr>
        <w:trPr/>
        <w:tc>
          <w:tcPr>
            <w:tcW w:w="451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594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hyperlink r:id="rId11">
              <w:r>
                <w:rPr>
                  <w:b/>
                  <w:color w:val="000000"/>
                  <w:sz w:val="24"/>
                  <w:szCs w:val="24"/>
                </w:rPr>
                <w:t>Transformer</w:t>
              </w:r>
            </w:hyperlink>
          </w:p>
        </w:tc>
        <w:tc>
          <w:tcPr>
            <w:tcW w:w="845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0.4340</w:t>
            </w:r>
          </w:p>
        </w:tc>
        <w:tc>
          <w:tcPr>
            <w:tcW w:w="1186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0.2853</w:t>
            </w:r>
          </w:p>
        </w:tc>
        <w:tc>
          <w:tcPr>
            <w:tcW w:w="4201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hyperlink r:id="rId12">
              <w:r>
                <w:rPr>
                  <w:color w:val="0096B1"/>
                  <w:sz w:val="24"/>
                  <w:szCs w:val="24"/>
                  <w:lang w:val="en-US"/>
                </w:rPr>
                <w:t>Long-term series forecasting with Query Selector - efficient model of sparse attention</w:t>
              </w:r>
            </w:hyperlink>
          </w:p>
        </w:tc>
        <w:tc>
          <w:tcPr>
            <w:tcW w:w="1078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2021</w:t>
            </w:r>
          </w:p>
        </w:tc>
      </w:tr>
      <w:tr>
        <w:trPr/>
        <w:tc>
          <w:tcPr>
            <w:tcW w:w="451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594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ind w:left="45" w:right="0" w:hanging="0"/>
              <w:rPr/>
            </w:pPr>
            <w:hyperlink r:id="rId13">
              <w:r>
                <w:rPr>
                  <w:b/>
                  <w:color w:val="000000"/>
                  <w:sz w:val="24"/>
                  <w:szCs w:val="24"/>
                </w:rPr>
                <w:t>SCINet</w:t>
                <w:br/>
              </w:r>
            </w:hyperlink>
            <w:hyperlink r:id="rId14">
              <w:r>
                <w:rPr>
                  <w:color w:val="000000"/>
                  <w:sz w:val="24"/>
                  <w:szCs w:val="24"/>
                </w:rPr>
                <w:t>(</w:t>
              </w:r>
            </w:hyperlink>
            <w:hyperlink r:id="rId15">
              <w:r>
                <w:rPr>
                  <w:color w:val="000000"/>
                  <w:sz w:val="24"/>
                  <w:szCs w:val="24"/>
                </w:rPr>
                <w:t>Многомерная</w:t>
              </w:r>
            </w:hyperlink>
            <w:hyperlink r:id="rId16">
              <w:r>
                <w:rPr>
                  <w:color w:val="000000"/>
                  <w:sz w:val="24"/>
                  <w:szCs w:val="24"/>
                </w:rPr>
                <w:t>)</w:t>
              </w:r>
            </w:hyperlink>
          </w:p>
        </w:tc>
        <w:tc>
          <w:tcPr>
            <w:tcW w:w="845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0.761</w:t>
            </w:r>
          </w:p>
        </w:tc>
        <w:tc>
          <w:tcPr>
            <w:tcW w:w="1186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1.074</w:t>
            </w:r>
          </w:p>
        </w:tc>
        <w:tc>
          <w:tcPr>
            <w:tcW w:w="4201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rPr/>
            </w:pPr>
            <w:hyperlink r:id="rId17">
              <w:r>
                <w:rPr>
                  <w:color w:val="0096B1"/>
                  <w:sz w:val="24"/>
                  <w:szCs w:val="24"/>
                  <w:lang w:val="en-US"/>
                </w:rPr>
                <w:t>Time Series is a Special Sequence: Forecasting with Sample Convolution and Interaction</w:t>
              </w:r>
            </w:hyperlink>
          </w:p>
        </w:tc>
        <w:tc>
          <w:tcPr>
            <w:tcW w:w="1078" w:type="dxa"/>
            <w:tcBorders>
              <w:bottom w:val="single" w:sz="6" w:space="0" w:color="E0E0E0"/>
            </w:tcBorders>
            <w:shd w:fill="FFFFFF" w:val="clear"/>
            <w:tcMar>
              <w:bottom w:w="150" w:type="dxa"/>
            </w:tcMar>
            <w:vAlign w:val="center"/>
          </w:tcPr>
          <w:p>
            <w:pPr>
              <w:pStyle w:val="Style24"/>
              <w:widowControl w:val="fals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2021</w:t>
            </w:r>
          </w:p>
        </w:tc>
      </w:tr>
    </w:tbl>
    <w:p>
      <w:pPr>
        <w:pStyle w:val="Textbody"/>
        <w:rPr/>
      </w:pPr>
      <w:r>
        <w:rPr/>
        <w:br/>
        <w:t>1 и 5 место, отличаются тем, используется ли многомерная реализация или одномерная реализация модели. Подробнее остановимся на 4 подходах и трех статьях, где они описываются:</w:t>
      </w:r>
    </w:p>
    <w:p>
      <w:pPr>
        <w:pStyle w:val="Standard"/>
        <w:numPr>
          <w:ilvl w:val="0"/>
          <w:numId w:val="3"/>
        </w:numPr>
        <w:rPr/>
      </w:pPr>
      <w:r>
        <w:rPr/>
        <w:t>Time Series is a Special Sequence: Forecasting with Sample Convolution and Interaction</w:t>
      </w:r>
      <w:r>
        <w:rPr/>
        <w:fldChar w:fldCharType="begin"/>
      </w:r>
      <w:r>
        <w:rPr/>
        <w:instrText> CITATION  "2"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 xml:space="preserve"> (использование свёрточных нейронных сетей и сравнение их с трансформерами) Данная статья проводит дальнейшее развитие актуальных архитектур для временных рядом (рекуррентные нейронные сети, модель транформеров, сверточные нейронные сети для временных рядов). Основная идея — модифицированный подход сверточной нейронной сети, где не только расширяется зона внимания от слоя к слою, но и проводится последовательность сжатие-свертка-смешивание. Это позволяет одновременно смотреть на параметры временного ряда разного масштаба, что помогает лучше извлекать признаки из временного ряда и приводит к росту предсказательной способности в модели SCINet, предложенной авторами, в сравнении с прошлыми архитектурами. </w:t>
        <w:br/>
        <w:t>На данный момент один из передовых по точности алгоритм, имеющий как многомерный так и одномерный вариант.</w:t>
        <w:br/>
        <w:t>Есть официальный репозиторий</w:t>
      </w:r>
      <w:r>
        <w:rPr>
          <w:rStyle w:val="Style13"/>
        </w:rPr>
        <w:footnoteReference w:id="3"/>
      </w:r>
      <w:r>
        <w:rPr/>
        <w:t xml:space="preserve"> с кодом и реализацией на </w:t>
      </w:r>
      <w:r>
        <w:rPr>
          <w:lang w:val="en-US"/>
        </w:rPr>
        <w:t>PyTorch.</w:t>
      </w:r>
    </w:p>
    <w:p>
      <w:pPr>
        <w:pStyle w:val="Standard"/>
        <w:numPr>
          <w:ilvl w:val="0"/>
          <w:numId w:val="3"/>
        </w:numPr>
        <w:rPr/>
      </w:pPr>
      <w:r>
        <w:rPr/>
        <w:t>Long-term series forecasting with Query Selector -- efficient model of sparse attention</w:t>
      </w:r>
      <w:r>
        <w:rPr/>
        <w:fldChar w:fldCharType="begin"/>
      </w:r>
      <w:r>
        <w:rPr/>
        <w:instrText> CITATION  "3"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 xml:space="preserve"> (Использование трансформеров и </w:t>
      </w:r>
      <w:r>
        <w:rPr>
          <w:lang w:val="en-US"/>
        </w:rPr>
        <w:t>query</w:t>
      </w:r>
      <w:r>
        <w:rPr/>
        <w:t xml:space="preserve"> </w:t>
      </w:r>
      <w:r>
        <w:rPr>
          <w:lang w:val="en-US"/>
        </w:rPr>
        <w:t>selector</w:t>
      </w:r>
      <w:r>
        <w:rPr/>
        <w:t xml:space="preserve"> модели)</w:t>
        <w:br/>
        <w:t>В этой статье предлагается развития идеи трансформеров за счет построения детерминистического алгоритма построения разреженной матрицы внимания.</w:t>
        <w:br/>
        <w:t xml:space="preserve">Есть реализация кода от авторов модели на </w:t>
      </w:r>
      <w:r>
        <w:rPr>
          <w:lang w:val="en-US"/>
        </w:rPr>
        <w:t>PyTorch</w:t>
      </w:r>
      <w:r>
        <w:rPr>
          <w:rStyle w:val="Style13"/>
          <w:lang w:val="en-US"/>
        </w:rPr>
        <w:footnoteReference w:id="4"/>
      </w:r>
      <w:r>
        <w:rPr>
          <w:lang w:val="en-US"/>
        </w:rPr>
        <w:t>.</w:t>
      </w:r>
    </w:p>
    <w:p>
      <w:pPr>
        <w:pStyle w:val="Standard"/>
        <w:numPr>
          <w:ilvl w:val="0"/>
          <w:numId w:val="3"/>
        </w:numPr>
        <w:rPr/>
      </w:pPr>
      <w:r>
        <w:rPr>
          <w:lang w:val="en-US"/>
        </w:rPr>
        <w:t>Informer</w:t>
      </w:r>
      <w:r>
        <w:rPr/>
        <w:t xml:space="preserve">: </w:t>
      </w:r>
      <w:r>
        <w:rPr>
          <w:lang w:val="en-US"/>
        </w:rPr>
        <w:t>Beyond</w:t>
      </w:r>
      <w:r>
        <w:rPr/>
        <w:t xml:space="preserve"> </w:t>
      </w:r>
      <w:r>
        <w:rPr>
          <w:lang w:val="en-US"/>
        </w:rPr>
        <w:t>Efficient</w:t>
      </w:r>
      <w:r>
        <w:rPr/>
        <w:t xml:space="preserve"> </w:t>
      </w:r>
      <w:r>
        <w:rPr>
          <w:lang w:val="en-US"/>
        </w:rPr>
        <w:t>Transformer</w:t>
      </w:r>
      <w:r>
        <w:rPr/>
        <w:t xml:space="preserve"> </w:t>
      </w:r>
      <w:r>
        <w:rPr>
          <w:lang w:val="en-US"/>
        </w:rPr>
        <w:t>for</w:t>
      </w:r>
      <w:r>
        <w:rPr/>
        <w:t xml:space="preserve"> </w:t>
      </w:r>
      <w:r>
        <w:rPr>
          <w:lang w:val="en-US"/>
        </w:rPr>
        <w:t>Long</w:t>
      </w:r>
      <w:r>
        <w:rPr/>
        <w:t xml:space="preserve"> </w:t>
      </w:r>
      <w:r>
        <w:rPr>
          <w:lang w:val="en-US"/>
        </w:rPr>
        <w:t>Sequence</w:t>
      </w:r>
      <w:r>
        <w:rPr/>
        <w:t xml:space="preserve"> </w:t>
      </w:r>
      <w:r>
        <w:rPr>
          <w:lang w:val="en-US"/>
        </w:rPr>
        <w:t>Time</w:t>
      </w:r>
      <w:r>
        <w:rPr/>
        <w:t>-</w:t>
      </w:r>
      <w:r>
        <w:rPr>
          <w:lang w:val="en-US"/>
        </w:rPr>
        <w:t>Series</w:t>
      </w:r>
      <w:r>
        <w:rPr/>
        <w:t xml:space="preserve"> </w:t>
      </w:r>
      <w:r>
        <w:rPr>
          <w:lang w:val="en-US"/>
        </w:rPr>
        <w:t>Forecasting</w:t>
      </w:r>
      <w:r>
        <w:rPr>
          <w:lang w:val="en-US"/>
        </w:rPr>
        <w:fldChar w:fldCharType="begin"/>
      </w:r>
      <w:r>
        <w:rPr>
          <w:lang w:val="en-US"/>
        </w:rPr>
        <w:instrText> CITATION  "4"</w:instrText>
      </w:r>
      <w:r>
        <w:rPr>
          <w:lang w:val="en-US"/>
        </w:rPr>
        <w:fldChar w:fldCharType="separate"/>
      </w:r>
      <w:r>
        <w:rPr>
          <w:lang w:val="en-US"/>
        </w:rPr>
        <w:t>4</w:t>
      </w:r>
      <w:r>
        <w:rPr>
          <w:lang w:val="en-US"/>
        </w:rPr>
        <w:fldChar w:fldCharType="end"/>
      </w:r>
      <w:r>
        <w:rPr/>
        <w:t xml:space="preserve"> (использование информеров)</w:t>
        <w:br/>
        <w:t>Данная статья разбирает проблемы прогнозирования длительных временных рядов (</w:t>
      </w:r>
      <w:r>
        <w:rPr>
          <w:lang w:val="en-US"/>
        </w:rPr>
        <w:t>LSTF</w:t>
      </w:r>
      <w:r>
        <w:rPr/>
        <w:t xml:space="preserve">) и отмечает проблемы использования архитектуры трансформеров для этих целей — сложность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O</m:t>
        </m:r>
        <m:d>
          <m:dPr>
            <m:begChr m:val="("/>
            <m:endChr m:val=")"/>
          </m:dPr>
          <m:e>
            <m:sSup>
              <m:e>
                <m:r>
                  <w:rPr>
                    <w:rFonts w:ascii="Cambria Math" w:hAnsi="Cambria Math"/>
                  </w:rPr>
                  <m:t xml:space="preserve">N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e>
        </m:d>
      </m:oMath>
      <w:r>
        <w:rPr/>
        <w:t xml:space="preserve"> по времени и большие требования по памяти и ограничения, присущие всем архитектурам энкодер-декодер. В качестве альтернативы, авторы предлагают более экономичную архитектуру модели для прогнозирования длительных временных рядов «Информеры», которые обладают тремя основными характеристиками 1) механизм внимания, который имеет сложность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O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⋅</m:t>
            </m:r>
            <m:r>
              <w:rPr>
                <w:rFonts w:ascii="Cambria Math" w:hAnsi="Cambria Math"/>
              </w:rPr>
              <m:t xml:space="preserve">log</m:t>
            </m:r>
            <m:r>
              <w:rPr>
                <w:rFonts w:ascii="Cambria Math" w:hAnsi="Cambria Math"/>
              </w:rPr>
              <m:t xml:space="preserve">N</m:t>
            </m:r>
          </m:e>
        </m:d>
      </m:oMath>
      <w:r>
        <w:rPr/>
        <w:t>по памяти и времени; 2) механизм внимания, который выделяет ключевые признаки, одновременно с делением пополам размера входов на каскадных слоях, что позволяет эффективно работать с чрезвычайно длинными временными рядами; 3) декодер генеративного типа, который строит прогноз за один шаг, а не итеративно, чем значительно ускоряет построение прогнозов.</w:t>
        <w:br/>
        <w:t xml:space="preserve">В данной статье проводится сравнения с другими методами и показано превосходство предложенного подхода в разрезе прогнозирования длительных временных рядов </w:t>
      </w:r>
      <w:r>
        <w:rPr>
          <w:lang w:val="ru-RU"/>
        </w:rPr>
        <w:t>над оригинальным вариантом использованием трансформеров</w:t>
      </w:r>
      <w:r>
        <w:rPr/>
        <w:t>.</w:t>
        <w:br/>
        <w:t xml:space="preserve">Есть реализация кода от авторов модели на </w:t>
      </w:r>
      <w:r>
        <w:rPr>
          <w:lang w:val="en-US"/>
        </w:rPr>
        <w:t>PyTorch</w:t>
      </w:r>
      <w:r>
        <w:rPr>
          <w:rStyle w:val="Style13"/>
          <w:lang w:val="en-US"/>
        </w:rPr>
        <w:footnoteReference w:id="5"/>
      </w:r>
      <w:r>
        <w:rPr>
          <w:lang w:val="en-US"/>
        </w:rPr>
        <w:t>.</w:t>
      </w:r>
    </w:p>
    <w:p>
      <w:pPr>
        <w:pStyle w:val="Standard"/>
        <w:rPr>
          <w:lang w:val="en-US"/>
        </w:rPr>
      </w:pPr>
      <w:r>
        <w:rPr>
          <w:lang w:val="en-US"/>
        </w:rPr>
      </w:r>
    </w:p>
    <w:p>
      <w:pPr>
        <w:pStyle w:val="Standard"/>
        <w:rPr/>
      </w:pPr>
      <w:r>
        <w:rPr/>
        <w:t xml:space="preserve">Эти статьи про методы, которые не входят в state-of-the-art, но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достойны упоминания</w:t>
      </w:r>
      <w:r>
        <w:rPr/>
        <w:t>:</w:t>
      </w:r>
    </w:p>
    <w:p>
      <w:pPr>
        <w:pStyle w:val="Standard"/>
        <w:numPr>
          <w:ilvl w:val="0"/>
          <w:numId w:val="4"/>
        </w:numPr>
        <w:rPr/>
      </w:pPr>
      <w:r>
        <w:rPr/>
        <w:t>Probabilistic Forecasting with Temporal Convolutional Neural Network</w:t>
      </w:r>
      <w:r>
        <w:rPr/>
        <w:fldChar w:fldCharType="begin"/>
      </w:r>
      <w:r>
        <w:rPr/>
        <w:instrText> CITATION  "5"</w:instrText>
      </w:r>
      <w:r>
        <w:rPr/>
        <w:fldChar w:fldCharType="separate"/>
      </w:r>
      <w:r>
        <w:rPr/>
        <w:t>5</w:t>
      </w:r>
      <w:r>
        <w:rPr/>
        <w:fldChar w:fldCharType="end"/>
      </w:r>
      <w:r>
        <w:rPr/>
        <w:br/>
        <w:t>В статье описывается подход к созданию прогнозов для мультивариативных временных рядом на основе свёрточных нейронных сетей с использованием обучения признакам.</w:t>
        <w:br/>
        <w:t xml:space="preserve">Есть официальная реализация в коде от авторов работы на </w:t>
      </w:r>
      <w:r>
        <w:rPr>
          <w:lang w:val="en-US"/>
        </w:rPr>
        <w:t>keras</w:t>
      </w:r>
      <w:r>
        <w:rPr>
          <w:rStyle w:val="Style13"/>
          <w:lang w:val="en-US"/>
        </w:rPr>
        <w:footnoteReference w:id="6"/>
      </w:r>
      <w:r>
        <w:rPr/>
        <w:t xml:space="preserve">, что важнее — реализован внутри пакета </w:t>
      </w:r>
      <w:r>
        <w:rPr>
          <w:lang w:val="en-US"/>
        </w:rPr>
        <w:t>Darts</w:t>
      </w:r>
      <w:r>
        <w:rPr/>
        <w:t xml:space="preserve"> – современный и быстроразвивающийся пакет для работы с временными рядами</w:t>
      </w:r>
      <w:r>
        <w:rPr>
          <w:rStyle w:val="Style13"/>
        </w:rPr>
        <w:footnoteReference w:id="7"/>
      </w:r>
    </w:p>
    <w:p>
      <w:pPr>
        <w:pStyle w:val="Standard"/>
        <w:numPr>
          <w:ilvl w:val="0"/>
          <w:numId w:val="4"/>
        </w:numPr>
        <w:rPr/>
      </w:pPr>
      <w:r>
        <w:rPr/>
        <w:t>N-BEATS: Neural basis expansion analysis for interpretable time series forecasting</w:t>
      </w:r>
      <w:r>
        <w:rPr/>
        <w:fldChar w:fldCharType="begin"/>
      </w:r>
      <w:r>
        <w:rPr/>
        <w:instrText> CITATION  "6"</w:instrText>
      </w:r>
      <w:r>
        <w:rPr/>
        <w:fldChar w:fldCharType="separate"/>
      </w:r>
      <w:r>
        <w:rPr/>
        <w:t>6</w:t>
      </w:r>
      <w:r>
        <w:rPr/>
        <w:fldChar w:fldCharType="end"/>
      </w:r>
      <w:r>
        <w:rPr/>
        <w:t xml:space="preserve"> </w:t>
        <w:br/>
        <w:t>Основной фокус на одномерных временных рядах — минус при анализе мультивариантных временных рядов. Предложен и реализован подход на основе глубокой нейронной сети со связями вперед и назад между слоями и набором множества полносвязных слоев внутри архитектуры сети.</w:t>
        <w:br/>
        <w:t>Есть реализация от компании, связанной с автором статьи</w:t>
      </w:r>
      <w:r>
        <w:rPr>
          <w:rStyle w:val="Style13"/>
        </w:rPr>
        <w:footnoteReference w:id="8"/>
      </w:r>
      <w:r>
        <w:rPr/>
        <w:t xml:space="preserve"> </w:t>
        <w:br/>
        <w:t xml:space="preserve">Также реализован внутри пакета </w:t>
      </w:r>
      <w:r>
        <w:rPr>
          <w:lang w:val="en-US"/>
        </w:rPr>
        <w:t>Darts</w:t>
      </w:r>
      <w:r>
        <w:rPr/>
        <w:t xml:space="preserve">  </w:t>
      </w:r>
    </w:p>
    <w:p>
      <w:pPr>
        <w:pStyle w:val="Standard"/>
        <w:numPr>
          <w:ilvl w:val="0"/>
          <w:numId w:val="4"/>
        </w:numPr>
        <w:rPr/>
      </w:pPr>
      <w:r>
        <w:rPr>
          <w:lang w:val="en-US"/>
        </w:rPr>
        <w:t>Temporal Fusion Transformers for Interpretable Multi-horizon Time Series Forecasting.</w:t>
      </w:r>
      <w:r>
        <w:rPr>
          <w:lang w:val="en-US"/>
        </w:rPr>
        <w:fldChar w:fldCharType="begin"/>
      </w:r>
      <w:r>
        <w:rPr>
          <w:lang w:val="en-US"/>
        </w:rPr>
        <w:instrText> CITATION  "7"</w:instrText>
      </w:r>
      <w:r>
        <w:rPr>
          <w:lang w:val="en-US"/>
        </w:rPr>
        <w:fldChar w:fldCharType="separate"/>
      </w:r>
      <w:r>
        <w:rPr>
          <w:lang w:val="en-US"/>
        </w:rPr>
        <w:t>7</w:t>
      </w:r>
      <w:r>
        <w:rPr>
          <w:lang w:val="en-US"/>
        </w:rPr>
        <w:fldChar w:fldCharType="end"/>
      </w:r>
      <w:r>
        <w:rPr>
          <w:lang w:val="en-US"/>
        </w:rPr>
        <w:br/>
      </w:r>
      <w:r>
        <w:rPr/>
        <w:t xml:space="preserve">На этой работе в первую очередь базируется работа </w:t>
      </w:r>
      <w:r>
        <w:rPr>
          <w:lang w:val="en-US"/>
        </w:rPr>
        <w:t>Liu</w:t>
      </w:r>
      <w:r>
        <w:rPr/>
        <w:t xml:space="preserve"> 2021 года (модель SCINet)</w:t>
        <w:br/>
        <w:t xml:space="preserve">Основная идея — использование трансформеров и обучение поведению временного ряда на разных масштабах  плюс выделение отдельной части модели под интерпретируемое представление внимания обученной сети, что позволяет и достигнуть лучших результатов в нескольких бенчмарках и отойти от реализации — черный ящик. </w:t>
        <w:br/>
        <w:t xml:space="preserve">Есть реализация на </w:t>
      </w:r>
      <w:r>
        <w:rPr>
          <w:lang w:val="en-US"/>
        </w:rPr>
        <w:t>tensorflow</w:t>
      </w:r>
      <w:r>
        <w:rPr>
          <w:rStyle w:val="Style13"/>
          <w:lang w:val="en-US"/>
        </w:rPr>
        <w:footnoteReference w:id="9"/>
      </w:r>
      <w:r>
        <w:rPr/>
        <w:t xml:space="preserve">, статья от исследователей в </w:t>
      </w:r>
      <w:r>
        <w:rPr>
          <w:lang w:val="en-US"/>
        </w:rPr>
        <w:t>google</w:t>
      </w:r>
      <w:r>
        <w:rPr/>
        <w:t xml:space="preserve"> </w:t>
      </w:r>
      <w:r>
        <w:rPr>
          <w:lang w:val="en-US"/>
        </w:rPr>
        <w:t>research</w:t>
      </w:r>
      <w:r>
        <w:rPr/>
        <w:t>.</w:t>
      </w:r>
    </w:p>
    <w:p>
      <w:pPr>
        <w:pStyle w:val="Standard"/>
        <w:rPr/>
      </w:pPr>
      <w:r>
        <w:rPr/>
      </w:r>
    </w:p>
    <w:p>
      <w:pPr>
        <w:pStyle w:val="1"/>
        <w:rPr/>
      </w:pPr>
      <w:bookmarkStart w:id="4" w:name="__RefHeading___Toc3516_3228052382"/>
      <w:bookmarkEnd w:id="4"/>
      <w:r>
        <w:rPr/>
        <w:t>Методы</w:t>
      </w:r>
    </w:p>
    <w:p>
      <w:pPr>
        <w:pStyle w:val="Normal"/>
        <w:rPr>
          <w:rFonts w:ascii="Times New Roman" w:hAnsi="Times New Roman"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В рамках этой работы я планирую обучить 4 модели</w:t>
      </w:r>
    </w:p>
    <w:p>
      <w:pPr>
        <w:pStyle w:val="Standard"/>
        <w:numPr>
          <w:ilvl w:val="0"/>
          <w:numId w:val="6"/>
        </w:numPr>
        <w:rPr>
          <w:lang w:val="en-US"/>
        </w:rPr>
      </w:pPr>
      <w:r>
        <w:rPr>
          <w:lang w:val="en-US"/>
        </w:rPr>
        <w:t>TCN;</w:t>
      </w:r>
    </w:p>
    <w:p>
      <w:pPr>
        <w:pStyle w:val="Standard"/>
        <w:numPr>
          <w:ilvl w:val="0"/>
          <w:numId w:val="6"/>
        </w:numPr>
        <w:rPr>
          <w:lang w:val="en-US"/>
        </w:rPr>
      </w:pPr>
      <w:r>
        <w:rPr>
          <w:lang w:val="en-US"/>
        </w:rPr>
        <w:t>N-Beats;</w:t>
      </w:r>
    </w:p>
    <w:p>
      <w:pPr>
        <w:pStyle w:val="Standard"/>
        <w:numPr>
          <w:ilvl w:val="0"/>
          <w:numId w:val="6"/>
        </w:numPr>
        <w:rPr>
          <w:lang w:val="en-US"/>
        </w:rPr>
      </w:pPr>
      <w:r>
        <w:rPr>
          <w:lang w:val="en-US"/>
        </w:rPr>
        <w:t>Transformer;</w:t>
      </w:r>
    </w:p>
    <w:p>
      <w:pPr>
        <w:pStyle w:val="Standard"/>
        <w:numPr>
          <w:ilvl w:val="0"/>
          <w:numId w:val="6"/>
        </w:numPr>
        <w:rPr>
          <w:lang w:val="en-US"/>
        </w:rPr>
      </w:pPr>
      <w:r>
        <w:rPr>
          <w:lang w:val="en-US"/>
        </w:rPr>
        <w:t>Time Fusion Transformer.</w:t>
      </w:r>
    </w:p>
    <w:p>
      <w:pPr>
        <w:pStyle w:val="Standard"/>
        <w:rPr>
          <w:rFonts w:ascii="Times New Roman" w:hAnsi="Times New Roman"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Плюс, как базовую — один из вариантов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AutoML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библиотек —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LAMA,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которая выбирает и обучает ансамбль бустингов на решающих деревьях с подбором гиперпараметров.</w:t>
      </w:r>
    </w:p>
    <w:p>
      <w:pPr>
        <w:pStyle w:val="Standard"/>
        <w:rPr>
          <w:rFonts w:ascii="Times New Roman" w:hAnsi="Times New Roman"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</w:r>
    </w:p>
    <w:p>
      <w:pPr>
        <w:pStyle w:val="Standard"/>
        <w:rPr>
          <w:rFonts w:ascii="Times New Roman" w:hAnsi="Times New Roman"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В части основных моделей, планируется использовать пакет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Darts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для обучения моделей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TCN, N-Beats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и трансформеров, и пакет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Pytorch forecasting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для модели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>Time Fusion Transformer.</w:t>
      </w:r>
    </w:p>
    <w:p>
      <w:pPr>
        <w:pStyle w:val="Standard"/>
        <w:rPr>
          <w:lang w:val="en-US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</w:r>
    </w:p>
    <w:p>
      <w:pPr>
        <w:pStyle w:val="Standard"/>
        <w:rPr/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В пакете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Darts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реализован загрузчик данных и обучающий цикл, основная сложность будет состоять в предобработке данных и формировании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выборок в виде классов </w:t>
      </w:r>
      <w:r>
        <w:rPr>
          <w:rFonts w:eastAsia="NSimSun" w:cs="Arial" w:ascii="SFMono-Regular;Menlo;Consolas;Monaco;Liberation Mono;Lucida Console;monospace" w:hAnsi="SFMono-Regular;Menlo;Consolas;Monaco;Liberation Mono;Lucida Console;monospace"/>
          <w:b/>
          <w:i w:val="false"/>
          <w:caps w:val="false"/>
          <w:smallCaps w:val="false"/>
          <w:color w:val="333333"/>
          <w:spacing w:val="0"/>
          <w:kern w:val="2"/>
          <w:sz w:val="23"/>
          <w:szCs w:val="24"/>
          <w:shd w:fill="FFFFFF" w:val="clear"/>
          <w:lang w:val="ru-RU" w:eastAsia="zh-CN" w:bidi="hi-IN"/>
        </w:rPr>
        <w:t>darts.timeseries.</w:t>
      </w:r>
      <w:r>
        <w:rPr>
          <w:rFonts w:eastAsia="NSimSun" w:cs="Arial" w:ascii="SFMono-Regular;Menlo;Consolas;Monaco;Liberation Mono;Lucida Console;monospace" w:hAnsi="SFMono-Regular;Menlo;Consolas;Monaco;Liberation Mono;Lucida Console;monospace"/>
          <w:b w:val="false"/>
          <w:i w:val="false"/>
          <w:caps w:val="false"/>
          <w:smallCaps w:val="false"/>
          <w:color w:val="000000"/>
          <w:spacing w:val="0"/>
          <w:kern w:val="2"/>
          <w:sz w:val="28"/>
          <w:szCs w:val="24"/>
          <w:shd w:fill="FFFFFF" w:val="clear"/>
          <w:lang w:val="ru-RU" w:eastAsia="zh-CN" w:bidi="hi-IN"/>
        </w:rPr>
        <w:t>TimeSeries</w:t>
      </w:r>
    </w:p>
    <w:p>
      <w:pPr>
        <w:pStyle w:val="Standard"/>
        <w:rPr>
          <w:rFonts w:ascii="Times New Roman" w:hAnsi="Times New Roman"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/>
      </w:r>
    </w:p>
    <w:p>
      <w:pPr>
        <w:pStyle w:val="Standard"/>
        <w:rPr/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Для модели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Time Fusion Transformer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необходимо будет настроить загрузчик данных из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>pandas.</w:t>
      </w:r>
    </w:p>
    <w:p>
      <w:pPr>
        <w:pStyle w:val="Standard"/>
        <w:rPr/>
      </w:pPr>
      <w:r>
        <w:rPr/>
      </w:r>
    </w:p>
    <w:p>
      <w:pPr>
        <w:pStyle w:val="1"/>
        <w:rPr/>
      </w:pPr>
      <w:bookmarkStart w:id="5" w:name="__RefHeading___Toc3518_3228052382"/>
      <w:bookmarkEnd w:id="5"/>
      <w:r>
        <w:rPr/>
        <w:t>Эксперименты</w:t>
      </w:r>
    </w:p>
    <w:p>
      <w:pPr>
        <w:pStyle w:val="2"/>
        <w:rPr/>
      </w:pPr>
      <w:bookmarkStart w:id="6" w:name="__RefHeading___Toc724_1315981873"/>
      <w:bookmarkEnd w:id="6"/>
      <w:r>
        <w:rPr/>
        <w:t>Описание данных</w:t>
      </w:r>
    </w:p>
    <w:p>
      <w:pPr>
        <w:pStyle w:val="Normal"/>
        <w:rPr/>
      </w:pPr>
      <w:r>
        <w:rPr>
          <w:rFonts w:eastAsia="NSimSun" w:cs="Arial"/>
          <w:color w:val="auto"/>
          <w:kern w:val="2"/>
          <w:sz w:val="28"/>
          <w:szCs w:val="28"/>
          <w:lang w:val="ru-RU" w:eastAsia="zh-CN" w:bidi="hi-IN"/>
        </w:rPr>
        <w:t xml:space="preserve">Для этой работы использованы данные, являющиеся сокращенным набором во времени и числу переменных набором данных, которые компания «Сургетнефтегаз» предоставляла в рамках открытого соревнования </w:t>
      </w:r>
      <w:r>
        <w:rPr>
          <w:rFonts w:eastAsia="NSimSun" w:cs="Arial"/>
          <w:color w:val="auto"/>
          <w:kern w:val="2"/>
          <w:sz w:val="28"/>
          <w:szCs w:val="28"/>
          <w:lang w:val="en-US" w:eastAsia="zh-CN" w:bidi="hi-IN"/>
        </w:rPr>
        <w:t>data science</w:t>
      </w:r>
      <w:r>
        <w:rPr>
          <w:rFonts w:eastAsia="NSimSun" w:cs="Arial"/>
          <w:color w:val="auto"/>
          <w:kern w:val="2"/>
          <w:sz w:val="28"/>
          <w:szCs w:val="28"/>
          <w:lang w:val="en-US" w:eastAsia="zh-CN" w:bidi="hi-IN"/>
        </w:rPr>
        <w:fldChar w:fldCharType="begin"/>
      </w:r>
      <w:r>
        <w:rPr>
          <w:sz w:val="28"/>
          <w:kern w:val="2"/>
          <w:szCs w:val="28"/>
          <w:rFonts w:eastAsia="NSimSun" w:cs="Arial"/>
          <w:color w:val="auto"/>
          <w:lang w:val="en-US" w:eastAsia="zh-CN" w:bidi="hi-IN"/>
        </w:rPr>
        <w:instrText> CITATION  "8"</w:instrText>
      </w:r>
      <w:r>
        <w:rPr>
          <w:sz w:val="28"/>
          <w:kern w:val="2"/>
          <w:szCs w:val="28"/>
          <w:rFonts w:eastAsia="NSimSun" w:cs="Arial"/>
          <w:color w:val="auto"/>
          <w:lang w:val="en-US" w:eastAsia="zh-CN" w:bidi="hi-IN"/>
        </w:rPr>
        <w:fldChar w:fldCharType="separate"/>
      </w:r>
      <w:r>
        <w:rPr>
          <w:sz w:val="28"/>
          <w:kern w:val="2"/>
          <w:szCs w:val="28"/>
          <w:rFonts w:eastAsia="NSimSun" w:cs="Arial"/>
          <w:color w:val="auto"/>
          <w:lang w:val="en-US" w:eastAsia="zh-CN" w:bidi="hi-IN"/>
        </w:rPr>
        <w:t>8</w:t>
      </w:r>
      <w:r>
        <w:rPr>
          <w:sz w:val="28"/>
          <w:kern w:val="2"/>
          <w:szCs w:val="28"/>
          <w:rFonts w:eastAsia="NSimSun" w:cs="Arial"/>
          <w:color w:val="auto"/>
          <w:lang w:val="en-US" w:eastAsia="zh-CN" w:bidi="hi-IN"/>
        </w:rPr>
        <w:fldChar w:fldCharType="end"/>
      </w:r>
      <w:r>
        <w:rPr>
          <w:rFonts w:eastAsia="NSimSun" w:cs="Arial"/>
          <w:color w:val="auto"/>
          <w:kern w:val="2"/>
          <w:sz w:val="28"/>
          <w:szCs w:val="28"/>
          <w:lang w:val="ru-RU" w:eastAsia="zh-CN" w:bidi="hi-IN"/>
        </w:rPr>
        <w:t>. В работе использован набор данных по эксплуатации погружного оборудования фонда нефтяных скважин (17 скважин). Характеристики данных: 150 тысяч записей за два календарных месяца (июнь — июль 2019 года), выравненные по временной оси данные телеметрии с частотой дескретизации 5 минут. Для построения моделей использовали 15 независимых переменных, большая часть которых — телеметрия работы насосов (нагрузка двигателя, коэффициент мощности, давление в коллекторе узла учета, наработка насоса, расход жидкости и газа и т.д.), а также идентификатор номера насоса и колонка времени изменений. Пример динамики целевой переменной, «средняя скорость изменения давления на приеме насоса в ЧАС, МПа/час.» показан на рисунке ниже.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2">
                <wp:simplePos x="0" y="0"/>
                <wp:positionH relativeFrom="column">
                  <wp:posOffset>-8890</wp:posOffset>
                </wp:positionH>
                <wp:positionV relativeFrom="paragraph">
                  <wp:posOffset>43815</wp:posOffset>
                </wp:positionV>
                <wp:extent cx="3093085" cy="2871470"/>
                <wp:effectExtent l="0" t="0" r="0" b="0"/>
                <wp:wrapTopAndBottom/>
                <wp:docPr id="1" name="Врезк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2400" cy="287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092450" cy="2192655"/>
                                  <wp:effectExtent l="0" t="0" r="0" b="0"/>
                                  <wp:docPr id="3" name="Изображение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Изображение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92450" cy="21926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Нормированная к интервалу [0;1] динамика целевой переменной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1" path="m0,0l-2147483645,0l-2147483645,-2147483646l0,-2147483646xe" fillcolor="white" stroked="f" o:allowincell="f" style="position:absolute;margin-left:-0.7pt;margin-top:3.45pt;width:243.45pt;height:226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092450" cy="2192655"/>
                            <wp:effectExtent l="0" t="0" r="0" b="0"/>
                            <wp:docPr id="4" name="Изображение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Изображение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92450" cy="21926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</w:t>
                      </w:r>
                      <w:r>
                        <w:rPr/>
                        <w:fldChar w:fldCharType="end"/>
                      </w:r>
                      <w:r>
                        <w:rPr/>
                        <w:t>: Нормированная к интервалу [0;1] динамика целевой переменной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Динамика признаков</w:t>
      </w:r>
      <w:r>
        <w:rPr>
          <w:lang w:val="ru-RU"/>
        </w:rPr>
        <w:t xml:space="preserve"> визуально выглядела хаотичной и не связанной с целевой переменной, за исключением признаков «T1138P6000096 Наработка двигателя с момента последнего включения, сек» и «T1138P4000064': "Загрузка двигателя, %», для остальных переменных направление влияние и степень их взаимосвязей первого порядка была заранее не очевидна. В качестве дополнительного анализа я использовал вывод </w:t>
      </w:r>
      <w:r>
        <w:rPr>
          <w:lang w:val="en-US"/>
        </w:rPr>
        <w:t xml:space="preserve">feature importance </w:t>
      </w:r>
      <w:r>
        <w:rPr>
          <w:lang w:val="ru-RU"/>
        </w:rPr>
        <w:t xml:space="preserve">для </w:t>
      </w:r>
      <w:r>
        <w:rPr>
          <w:lang w:val="en-US"/>
        </w:rPr>
        <w:t xml:space="preserve">auto ml </w:t>
      </w:r>
      <w:r>
        <w:rPr>
          <w:lang w:val="ru-RU"/>
        </w:rPr>
        <w:t>модели.</w:t>
      </w:r>
    </w:p>
    <w:p>
      <w:pPr>
        <w:pStyle w:val="Standard"/>
        <w:rPr>
          <w:lang w:val="ru-RU"/>
        </w:rPr>
      </w:pPr>
      <w:r>
        <w:rPr>
          <w:lang w:val="ru-RU"/>
        </w:rPr>
        <w:t>Ниже пример значений переменных:</w:t>
      </w:r>
    </w:p>
    <w:tbl>
      <w:tblPr>
        <w:tblW w:w="9350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824"/>
        <w:gridCol w:w="4526"/>
      </w:tblGrid>
      <w:tr>
        <w:trPr/>
        <w:tc>
          <w:tcPr>
            <w:tcW w:w="4824" w:type="dxa"/>
            <w:tcBorders/>
          </w:tcPr>
          <w:p>
            <w:pPr>
              <w:pStyle w:val="Style24"/>
              <w:widowControl w:val="false"/>
              <w:rPr>
                <w:rFonts w:eastAsia="NSimSun" w:cs="Arial"/>
                <w:i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NSimSun" w:cs="Arial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drawing>
                <wp:inline distT="0" distB="0" distL="0" distR="0">
                  <wp:extent cx="2841625" cy="2026920"/>
                  <wp:effectExtent l="0" t="0" r="0" b="0"/>
                  <wp:docPr id="5" name="Изображение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Изображение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1625" cy="2026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24"/>
              <w:widowControl w:val="false"/>
              <w:rPr>
                <w:rFonts w:eastAsia="NSimSun" w:cs="Arial"/>
                <w:i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NSimSun" w:cs="Arial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t xml:space="preserve">Рисунок </w:t>
            </w:r>
            <w:r>
              <w:rPr>
                <w:rFonts w:eastAsia="NSimSun" w:cs="Arial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fldChar w:fldCharType="begin"/>
            </w:r>
            <w:r>
              <w:rPr>
                <w:sz w:val="24"/>
                <w:i/>
                <w:kern w:val="2"/>
                <w:szCs w:val="24"/>
                <w:iCs/>
                <w:rFonts w:eastAsia="NSimSun" w:cs="Arial"/>
                <w:color w:val="auto"/>
                <w:lang w:val="ru-RU" w:eastAsia="zh-CN" w:bidi="hi-IN"/>
              </w:rPr>
              <w:instrText> SEQ Рисунок \* ARABIC </w:instrText>
            </w:r>
            <w:r>
              <w:rPr>
                <w:sz w:val="24"/>
                <w:i/>
                <w:kern w:val="2"/>
                <w:szCs w:val="24"/>
                <w:iCs/>
                <w:rFonts w:eastAsia="NSimSun" w:cs="Arial"/>
                <w:color w:val="auto"/>
                <w:lang w:val="ru-RU" w:eastAsia="zh-CN" w:bidi="hi-IN"/>
              </w:rPr>
              <w:fldChar w:fldCharType="separate"/>
            </w:r>
            <w:r>
              <w:rPr>
                <w:sz w:val="24"/>
                <w:i/>
                <w:kern w:val="2"/>
                <w:szCs w:val="24"/>
                <w:iCs/>
                <w:rFonts w:eastAsia="NSimSun" w:cs="Arial"/>
                <w:color w:val="auto"/>
                <w:lang w:val="ru-RU" w:eastAsia="zh-CN" w:bidi="hi-IN"/>
              </w:rPr>
              <w:t>2</w:t>
            </w:r>
            <w:r>
              <w:rPr>
                <w:sz w:val="24"/>
                <w:i/>
                <w:kern w:val="2"/>
                <w:szCs w:val="24"/>
                <w:iCs/>
                <w:rFonts w:eastAsia="NSimSun" w:cs="Arial"/>
                <w:color w:val="auto"/>
                <w:lang w:val="ru-RU" w:eastAsia="zh-CN" w:bidi="hi-IN"/>
              </w:rPr>
              <w:fldChar w:fldCharType="end"/>
            </w:r>
            <w:r>
              <w:rPr>
                <w:rFonts w:eastAsia="NSimSun" w:cs="Arial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t>: Время с момента включения насоса</w:t>
            </w:r>
          </w:p>
        </w:tc>
        <w:tc>
          <w:tcPr>
            <w:tcW w:w="4526" w:type="dxa"/>
            <w:tcBorders/>
          </w:tcPr>
          <w:p>
            <w:pPr>
              <w:pStyle w:val="Style24"/>
              <w:widowControl w:val="false"/>
              <w:rPr>
                <w:rFonts w:eastAsia="NSimSun" w:cs="Arial"/>
                <w:i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NSimSun" w:cs="Arial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drawing>
                <wp:inline distT="0" distB="0" distL="0" distR="0">
                  <wp:extent cx="2720340" cy="2045970"/>
                  <wp:effectExtent l="0" t="0" r="0" b="0"/>
                  <wp:docPr id="6" name="Изображение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Изображение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40" cy="2045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NSimSun" w:cs="Arial"/>
                <w:i/>
                <w:iCs/>
                <w:color w:val="auto"/>
                <w:kern w:val="2"/>
                <w:sz w:val="24"/>
                <w:szCs w:val="24"/>
                <w:lang w:val="en-US" w:eastAsia="zh-CN" w:bidi="hi-IN"/>
              </w:rPr>
              <w:t>Р</w:t>
            </w:r>
            <w:r>
              <w:rPr>
                <w:rFonts w:eastAsia="NSimSun" w:cs="Arial"/>
                <w:i/>
                <w:iCs/>
                <w:color w:val="auto"/>
                <w:kern w:val="2"/>
                <w:sz w:val="24"/>
                <w:szCs w:val="24"/>
                <w:lang w:val="en-US" w:eastAsia="zh-CN" w:bidi="hi-IN"/>
              </w:rPr>
              <w:t>Р</w:t>
            </w:r>
            <w:r>
              <w:rPr>
                <w:rFonts w:eastAsia="NSimSun" w:cs="Arial"/>
                <w:i/>
                <w:iCs/>
                <w:color w:val="auto"/>
                <w:kern w:val="2"/>
                <w:sz w:val="24"/>
                <w:szCs w:val="24"/>
                <w:lang w:val="en-US" w:eastAsia="zh-CN" w:bidi="hi-IN"/>
              </w:rPr>
              <w:t>исунок</w:t>
            </w:r>
            <w:r>
              <w:rPr>
                <w:rFonts w:eastAsia="NSimSun" w:cs="Arial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t xml:space="preserve"> </w:t>
            </w:r>
            <w:r>
              <w:rPr>
                <w:rFonts w:eastAsia="NSimSun" w:cs="Arial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fldChar w:fldCharType="begin"/>
            </w:r>
            <w:r>
              <w:rPr>
                <w:sz w:val="24"/>
                <w:i/>
                <w:kern w:val="2"/>
                <w:szCs w:val="24"/>
                <w:iCs/>
                <w:rFonts w:eastAsia="NSimSun" w:cs="Arial"/>
                <w:color w:val="auto"/>
                <w:lang w:val="ru-RU" w:eastAsia="zh-CN" w:bidi="hi-IN"/>
              </w:rPr>
              <w:instrText> SEQ Рисунок \* ARABIC </w:instrText>
            </w:r>
            <w:r>
              <w:rPr>
                <w:sz w:val="24"/>
                <w:i/>
                <w:kern w:val="2"/>
                <w:szCs w:val="24"/>
                <w:iCs/>
                <w:rFonts w:eastAsia="NSimSun" w:cs="Arial"/>
                <w:color w:val="auto"/>
                <w:lang w:val="ru-RU" w:eastAsia="zh-CN" w:bidi="hi-IN"/>
              </w:rPr>
              <w:fldChar w:fldCharType="separate"/>
            </w:r>
            <w:r>
              <w:rPr>
                <w:sz w:val="24"/>
                <w:i/>
                <w:kern w:val="2"/>
                <w:szCs w:val="24"/>
                <w:iCs/>
                <w:rFonts w:eastAsia="NSimSun" w:cs="Arial"/>
                <w:color w:val="auto"/>
                <w:lang w:val="ru-RU" w:eastAsia="zh-CN" w:bidi="hi-IN"/>
              </w:rPr>
              <w:t>3</w:t>
            </w:r>
            <w:r>
              <w:rPr>
                <w:sz w:val="24"/>
                <w:i/>
                <w:kern w:val="2"/>
                <w:szCs w:val="24"/>
                <w:iCs/>
                <w:rFonts w:eastAsia="NSimSun" w:cs="Arial"/>
                <w:color w:val="auto"/>
                <w:lang w:val="ru-RU" w:eastAsia="zh-CN" w:bidi="hi-IN"/>
              </w:rPr>
              <w:fldChar w:fldCharType="end"/>
            </w:r>
            <w:r>
              <w:rPr>
                <w:rFonts w:eastAsia="NSimSun" w:cs="Arial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t>: Нагрузка насоса</w:t>
            </w:r>
          </w:p>
        </w:tc>
      </w:tr>
      <w:tr>
        <w:trPr/>
        <w:tc>
          <w:tcPr>
            <w:tcW w:w="4824" w:type="dxa"/>
            <w:tcBorders/>
          </w:tcPr>
          <w:p>
            <w:pPr>
              <w:pStyle w:val="Style24"/>
              <w:widowControl w:val="false"/>
              <w:rPr>
                <w:rFonts w:eastAsia="NSimSun" w:cs="Arial"/>
                <w:i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NSimSun" w:cs="Arial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drawing>
                <wp:inline distT="0" distB="0" distL="0" distR="0">
                  <wp:extent cx="2830195" cy="2073275"/>
                  <wp:effectExtent l="0" t="0" r="0" b="0"/>
                  <wp:docPr id="7" name="Изображение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Изображение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0195" cy="207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24"/>
              <w:widowControl w:val="false"/>
              <w:rPr>
                <w:rFonts w:eastAsia="NSimSun" w:cs="Arial"/>
                <w:i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NSimSun" w:cs="Arial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t xml:space="preserve">Рисунок </w:t>
            </w:r>
            <w:r>
              <w:rPr>
                <w:rFonts w:eastAsia="NSimSun" w:cs="Arial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fldChar w:fldCharType="begin"/>
            </w:r>
            <w:r>
              <w:rPr>
                <w:sz w:val="24"/>
                <w:i/>
                <w:kern w:val="2"/>
                <w:szCs w:val="24"/>
                <w:iCs/>
                <w:rFonts w:eastAsia="NSimSun" w:cs="Arial"/>
                <w:color w:val="auto"/>
                <w:lang w:val="ru-RU" w:eastAsia="zh-CN" w:bidi="hi-IN"/>
              </w:rPr>
              <w:instrText> SEQ Рисунок \* ARABIC </w:instrText>
            </w:r>
            <w:r>
              <w:rPr>
                <w:sz w:val="24"/>
                <w:i/>
                <w:kern w:val="2"/>
                <w:szCs w:val="24"/>
                <w:iCs/>
                <w:rFonts w:eastAsia="NSimSun" w:cs="Arial"/>
                <w:color w:val="auto"/>
                <w:lang w:val="ru-RU" w:eastAsia="zh-CN" w:bidi="hi-IN"/>
              </w:rPr>
              <w:fldChar w:fldCharType="separate"/>
            </w:r>
            <w:r>
              <w:rPr>
                <w:sz w:val="24"/>
                <w:i/>
                <w:kern w:val="2"/>
                <w:szCs w:val="24"/>
                <w:iCs/>
                <w:rFonts w:eastAsia="NSimSun" w:cs="Arial"/>
                <w:color w:val="auto"/>
                <w:lang w:val="ru-RU" w:eastAsia="zh-CN" w:bidi="hi-IN"/>
              </w:rPr>
              <w:t>4</w:t>
            </w:r>
            <w:r>
              <w:rPr>
                <w:sz w:val="24"/>
                <w:i/>
                <w:kern w:val="2"/>
                <w:szCs w:val="24"/>
                <w:iCs/>
                <w:rFonts w:eastAsia="NSimSun" w:cs="Arial"/>
                <w:color w:val="auto"/>
                <w:lang w:val="ru-RU" w:eastAsia="zh-CN" w:bidi="hi-IN"/>
              </w:rPr>
              <w:fldChar w:fldCharType="end"/>
            </w:r>
            <w:r>
              <w:rPr>
                <w:rFonts w:eastAsia="NSimSun" w:cs="Arial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t>: Средняя скорость изменения давления в коллекторе</w:t>
            </w:r>
          </w:p>
        </w:tc>
        <w:tc>
          <w:tcPr>
            <w:tcW w:w="4526" w:type="dxa"/>
            <w:tcBorders/>
          </w:tcPr>
          <w:p>
            <w:pPr>
              <w:pStyle w:val="Style24"/>
              <w:widowControl w:val="false"/>
              <w:rPr>
                <w:rFonts w:eastAsia="NSimSun" w:cs="Arial"/>
                <w:i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eastAsia="NSimSun" w:cs="Arial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drawing>
                <wp:inline distT="0" distB="0" distL="0" distR="0">
                  <wp:extent cx="2873375" cy="2094230"/>
                  <wp:effectExtent l="0" t="0" r="0" b="0"/>
                  <wp:docPr id="8" name="Изображение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Изображение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3375" cy="2094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NSimSun" w:cs="Arial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t xml:space="preserve">Рисунок </w:t>
            </w:r>
            <w:r>
              <w:rPr>
                <w:rFonts w:eastAsia="NSimSun" w:cs="Arial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fldChar w:fldCharType="begin"/>
            </w:r>
            <w:r>
              <w:rPr>
                <w:sz w:val="24"/>
                <w:i/>
                <w:kern w:val="2"/>
                <w:szCs w:val="24"/>
                <w:iCs/>
                <w:rFonts w:eastAsia="NSimSun" w:cs="Arial"/>
                <w:color w:val="auto"/>
                <w:lang w:val="ru-RU" w:eastAsia="zh-CN" w:bidi="hi-IN"/>
              </w:rPr>
              <w:instrText> SEQ Рисунок \* ARABIC </w:instrText>
            </w:r>
            <w:r>
              <w:rPr>
                <w:sz w:val="24"/>
                <w:i/>
                <w:kern w:val="2"/>
                <w:szCs w:val="24"/>
                <w:iCs/>
                <w:rFonts w:eastAsia="NSimSun" w:cs="Arial"/>
                <w:color w:val="auto"/>
                <w:lang w:val="ru-RU" w:eastAsia="zh-CN" w:bidi="hi-IN"/>
              </w:rPr>
              <w:fldChar w:fldCharType="separate"/>
            </w:r>
            <w:r>
              <w:rPr>
                <w:sz w:val="24"/>
                <w:i/>
                <w:kern w:val="2"/>
                <w:szCs w:val="24"/>
                <w:iCs/>
                <w:rFonts w:eastAsia="NSimSun" w:cs="Arial"/>
                <w:color w:val="auto"/>
                <w:lang w:val="ru-RU" w:eastAsia="zh-CN" w:bidi="hi-IN"/>
              </w:rPr>
              <w:t>5</w:t>
            </w:r>
            <w:r>
              <w:rPr>
                <w:sz w:val="24"/>
                <w:i/>
                <w:kern w:val="2"/>
                <w:szCs w:val="24"/>
                <w:iCs/>
                <w:rFonts w:eastAsia="NSimSun" w:cs="Arial"/>
                <w:color w:val="auto"/>
                <w:lang w:val="ru-RU" w:eastAsia="zh-CN" w:bidi="hi-IN"/>
              </w:rPr>
              <w:fldChar w:fldCharType="end"/>
            </w:r>
            <w:r>
              <w:rPr>
                <w:rFonts w:eastAsia="NSimSun" w:cs="Arial"/>
                <w:i/>
                <w:iCs/>
                <w:color w:val="auto"/>
                <w:kern w:val="2"/>
                <w:sz w:val="24"/>
                <w:szCs w:val="24"/>
                <w:lang w:val="ru-RU" w:eastAsia="zh-CN" w:bidi="hi-IN"/>
              </w:rPr>
              <w:t>: Целевая переменная</w:t>
            </w:r>
          </w:p>
        </w:tc>
      </w:tr>
    </w:tbl>
    <w:p>
      <w:pPr>
        <w:pStyle w:val="Standard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posOffset>67945</wp:posOffset>
                </wp:positionH>
                <wp:positionV relativeFrom="paragraph">
                  <wp:posOffset>150495</wp:posOffset>
                </wp:positionV>
                <wp:extent cx="5821680" cy="1517015"/>
                <wp:effectExtent l="0" t="0" r="0" b="0"/>
                <wp:wrapSquare wrapText="largest"/>
                <wp:docPr id="9" name="Врезк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1200" cy="1516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74055" cy="1103630"/>
                                  <wp:effectExtent l="0" t="0" r="0" b="0"/>
                                  <wp:docPr id="11" name="Изображение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Изображение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rcRect l="1081" t="0" r="0" b="9034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74055" cy="11036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6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Нормированная значимость признаков для модели LAMA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2" path="m0,0l-2147483645,0l-2147483645,-2147483646l0,-2147483646xe" fillcolor="white" stroked="f" o:allowincell="f" style="position:absolute;margin-left:5.35pt;margin-top:11.85pt;width:458.3pt;height:119.3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74055" cy="1103630"/>
                            <wp:effectExtent l="0" t="0" r="0" b="0"/>
                            <wp:docPr id="12" name="Изображение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Изображение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/>
                                    <a:srcRect l="1081" t="0" r="0" b="9034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74055" cy="11036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6</w:t>
                      </w:r>
                      <w:r>
                        <w:rPr/>
                        <w:fldChar w:fldCharType="end"/>
                      </w:r>
                      <w:r>
                        <w:rPr/>
                        <w:t>: Нормированная значимость признаков для модели LAMA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На рисунке выше мы видим</w:t>
      </w:r>
      <w:r>
        <w:rPr>
          <w:lang w:val="ru-RU"/>
        </w:rPr>
        <w:t xml:space="preserve">, что только 1 переменная (время включения насоса) и значение целевой переменной </w:t>
      </w:r>
      <w:r>
        <w:rPr>
          <w:lang w:val="ru-RU"/>
        </w:rPr>
        <w:t xml:space="preserve">с задержкой 1 и 2 шага </w:t>
      </w:r>
      <w:r>
        <w:rPr>
          <w:lang w:val="ru-RU"/>
        </w:rPr>
        <w:t xml:space="preserve">оказались значимые в </w:t>
      </w:r>
      <w:r>
        <w:rPr>
          <w:lang w:val="en-US"/>
        </w:rPr>
        <w:t xml:space="preserve">AutoML </w:t>
      </w:r>
      <w:r>
        <w:rPr>
          <w:lang w:val="ru-RU"/>
        </w:rPr>
        <w:t xml:space="preserve">модели. Можно предположить, что взаимосвязи между переменными нелинейные и отложенные во времени, что и требует применения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современных методов машинного обучения, заточенных под многомерные временные ряды.</w:t>
      </w:r>
    </w:p>
    <w:p>
      <w:pPr>
        <w:pStyle w:val="Standard"/>
        <w:rPr>
          <w:rFonts w:ascii="Times New Roman" w:hAnsi="Times New Roman" w:eastAsia="NSimSun" w:cs="Arial"/>
          <w:color w:val="auto"/>
          <w:kern w:val="2"/>
          <w:sz w:val="28"/>
          <w:szCs w:val="24"/>
          <w:lang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eastAsia="zh-CN" w:bidi="hi-IN"/>
        </w:rPr>
      </w:r>
    </w:p>
    <w:p>
      <w:pPr>
        <w:pStyle w:val="Standard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posOffset>41910</wp:posOffset>
                </wp:positionH>
                <wp:positionV relativeFrom="paragraph">
                  <wp:posOffset>-89535</wp:posOffset>
                </wp:positionV>
                <wp:extent cx="2732405" cy="2562860"/>
                <wp:effectExtent l="0" t="0" r="0" b="0"/>
                <wp:wrapSquare wrapText="largest"/>
                <wp:docPr id="13" name="Врезка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1680" cy="2562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ableofFigures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703195" cy="1864360"/>
                                  <wp:effectExtent l="0" t="0" r="0" b="0"/>
                                  <wp:docPr id="15" name="Изображение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Изображение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03195" cy="18643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7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Частные автокрреляции для целевой переменной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46000</wp14:pctWidth>
                </wp14:sizeRelH>
              </wp:anchor>
            </w:drawing>
          </mc:Choice>
          <mc:Fallback>
            <w:pict>
              <v:rect id="shape_0" ID="Врезка3" path="m0,0l-2147483645,0l-2147483645,-2147483646l0,-2147483646xe" fillcolor="white" stroked="f" o:allowincell="f" style="position:absolute;margin-left:3.3pt;margin-top:-7.05pt;width:215.05pt;height:201.7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TableofFigures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703195" cy="1864360"/>
                            <wp:effectExtent l="0" t="0" r="0" b="0"/>
                            <wp:docPr id="16" name="Изображение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Изображение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03195" cy="18643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7</w:t>
                      </w:r>
                      <w:r>
                        <w:rPr/>
                        <w:fldChar w:fldCharType="end"/>
                      </w:r>
                      <w:r>
                        <w:rPr/>
                        <w:t>: Частные автокрреляции для целевой переменной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Дополнительный анализ в части целевой переменной — анализ частных автокорреляций. Приведу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правее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 график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PACF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для целевой переменной для случайного насоса. По нему видно, что до 144 лага значения являются значимыми. Уровень 144 временных интервала я буду использовать для моделей как базовую настройку размера входящего окна. Тесты показали, что более короткие значения приводят к снижению качества модели, а более высоки — увеличивают сложность моделей и увеличивают шанс переобучения.</w:t>
      </w:r>
    </w:p>
    <w:p>
      <w:pPr>
        <w:pStyle w:val="Standard"/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/>
      </w:r>
    </w:p>
    <w:p>
      <w:pPr>
        <w:pStyle w:val="2"/>
        <w:rPr>
          <w:lang w:val="ru-RU"/>
        </w:rPr>
      </w:pPr>
      <w:bookmarkStart w:id="7" w:name="__RefHeading___Toc2373_2022857931"/>
      <w:bookmarkEnd w:id="7"/>
      <w:r>
        <w:rPr>
          <w:rFonts w:eastAsia="NSimSun" w:cs="Arial"/>
          <w:b/>
          <w:bCs/>
          <w:color w:val="auto"/>
          <w:kern w:val="2"/>
          <w:sz w:val="36"/>
          <w:szCs w:val="36"/>
          <w:lang w:val="ru-RU" w:eastAsia="zh-CN" w:bidi="hi-IN"/>
        </w:rPr>
        <w:t>Предобработка данных</w:t>
      </w:r>
    </w:p>
    <w:p>
      <w:pPr>
        <w:pStyle w:val="Standard"/>
        <w:rPr>
          <w:lang w:val="ru-RU"/>
        </w:rPr>
      </w:pPr>
      <w:r>
        <w:rPr>
          <w:lang w:val="ru-RU"/>
        </w:rPr>
        <w:t xml:space="preserve">Для </w:t>
      </w:r>
      <w:r>
        <w:rPr>
          <w:lang w:val="en-US"/>
        </w:rPr>
        <w:t xml:space="preserve">AutoML </w:t>
      </w:r>
      <w:r>
        <w:rPr>
          <w:lang w:val="ru-RU"/>
        </w:rPr>
        <w:t xml:space="preserve">модели из пакета </w:t>
      </w:r>
      <w:r>
        <w:rPr>
          <w:lang w:val="en-US"/>
        </w:rPr>
        <w:t xml:space="preserve">LAMA </w:t>
      </w:r>
      <w:r>
        <w:rPr>
          <w:lang w:val="ru-RU"/>
        </w:rPr>
        <w:t xml:space="preserve">значения целевой переменной и признаков не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нормализовывались, и идентификаторы насосов не кодировались отдельно — модель умеет работать с категориальными переменными. После того как модель показала плохой результат,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я добавил значение целевой переменной и всех признаков с лагом 1 и 2.</w:t>
      </w:r>
    </w:p>
    <w:p>
      <w:pPr>
        <w:pStyle w:val="Standard"/>
        <w:rPr>
          <w:rFonts w:ascii="Times New Roman" w:hAnsi="Times New Roman" w:eastAsia="NSimSun" w:cs="Arial"/>
          <w:color w:val="auto"/>
          <w:kern w:val="2"/>
          <w:sz w:val="28"/>
          <w:szCs w:val="24"/>
          <w:lang w:eastAsia="zh-CN" w:bidi="hi-IN"/>
        </w:rPr>
      </w:pPr>
      <w:r>
        <w:rPr>
          <w:lang w:val="ru-RU"/>
        </w:rPr>
      </w:r>
    </w:p>
    <w:p>
      <w:pPr>
        <w:pStyle w:val="Standard"/>
        <w:rPr>
          <w:lang w:val="ru-RU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Для всех остальных моделей использовался следующий поток обработки данных:</w:t>
      </w:r>
    </w:p>
    <w:p>
      <w:pPr>
        <w:pStyle w:val="Standard"/>
        <w:numPr>
          <w:ilvl w:val="0"/>
          <w:numId w:val="10"/>
        </w:numPr>
        <w:rPr>
          <w:rFonts w:ascii="Times New Roman" w:hAnsi="Times New Roman"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Нормализация значений всех переменных к интервалу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>[0,1];</w:t>
      </w:r>
    </w:p>
    <w:p>
      <w:pPr>
        <w:pStyle w:val="Standard"/>
        <w:numPr>
          <w:ilvl w:val="0"/>
          <w:numId w:val="10"/>
        </w:numPr>
        <w:rPr>
          <w:rFonts w:ascii="Times New Roman" w:hAnsi="Times New Roman"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Интерполяция пропусков в признаках вперед квадратичной функцией;</w:t>
      </w:r>
    </w:p>
    <w:p>
      <w:pPr>
        <w:pStyle w:val="Standard"/>
        <w:numPr>
          <w:ilvl w:val="0"/>
          <w:numId w:val="10"/>
        </w:numPr>
        <w:rPr/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Кодирование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id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насосов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с помощью </w:t>
      </w: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eastAsia="zh-CN" w:bidi="hi-IN"/>
        </w:rPr>
        <w:t xml:space="preserve">LabelBinarizer </w:t>
      </w: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eastAsia="zh-CN" w:bidi="hi-IN"/>
        </w:rPr>
        <w:t>в отдельные столбцы с</w:t>
      </w: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val="ru-RU" w:eastAsia="zh-CN" w:bidi="hi-IN"/>
        </w:rPr>
        <w:t>о</w:t>
      </w: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eastAsia="zh-CN" w:bidi="hi-IN"/>
        </w:rPr>
        <w:t xml:space="preserve"> значениями 1 и 0;</w:t>
      </w:r>
    </w:p>
    <w:p>
      <w:pPr>
        <w:pStyle w:val="Standard"/>
        <w:numPr>
          <w:ilvl w:val="0"/>
          <w:numId w:val="10"/>
        </w:numPr>
        <w:rPr>
          <w:lang w:val="ru-RU"/>
        </w:rPr>
      </w:pP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val="ru-RU" w:eastAsia="zh-CN" w:bidi="hi-IN"/>
        </w:rPr>
        <w:t>Д</w:t>
      </w: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val="ru-RU" w:eastAsia="zh-CN" w:bidi="hi-IN"/>
        </w:rPr>
        <w:t xml:space="preserve">атафрейм из предыдущего </w:t>
      </w: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val="ru-RU" w:eastAsia="zh-CN" w:bidi="hi-IN"/>
        </w:rPr>
        <w:t xml:space="preserve">шага был преобразован в список из датафреймов, где для каждого были наблюдения только по 1 насосу (это связано с ограничением пакета </w:t>
      </w: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val="en-US" w:eastAsia="zh-CN" w:bidi="hi-IN"/>
        </w:rPr>
        <w:t>darts);</w:t>
      </w:r>
    </w:p>
    <w:p>
      <w:pPr>
        <w:pStyle w:val="Standard"/>
        <w:numPr>
          <w:ilvl w:val="0"/>
          <w:numId w:val="10"/>
        </w:numPr>
        <w:rPr/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Для модели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Time fusion transformer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дополнительно:</w:t>
      </w:r>
    </w:p>
    <w:p>
      <w:pPr>
        <w:pStyle w:val="Standard"/>
        <w:numPr>
          <w:ilvl w:val="1"/>
          <w:numId w:val="10"/>
        </w:numPr>
        <w:rPr/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С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оздавалась колонка </w:t>
      </w: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val="en-US" w:eastAsia="zh-CN" w:bidi="hi-IN"/>
        </w:rPr>
        <w:t xml:space="preserve">time_idx – </w:t>
      </w: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val="ru-RU" w:eastAsia="zh-CN" w:bidi="hi-IN"/>
        </w:rPr>
        <w:t>индексы по времени, идущие от 0 с шагом 1 для каждого момента времени, который есть в обучающей выборке;</w:t>
      </w:r>
    </w:p>
    <w:p>
      <w:pPr>
        <w:pStyle w:val="Standard"/>
        <w:numPr>
          <w:ilvl w:val="1"/>
          <w:numId w:val="10"/>
        </w:numPr>
        <w:rPr/>
      </w:pP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val="ru-RU" w:eastAsia="zh-CN" w:bidi="hi-IN"/>
        </w:rPr>
        <w:t>Н</w:t>
      </w: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val="ru-RU" w:eastAsia="zh-CN" w:bidi="hi-IN"/>
        </w:rPr>
        <w:t xml:space="preserve">е проводилось разделение одного датафрейма на список из датафреймов, так как пакет </w:t>
      </w: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val="en-US" w:eastAsia="zh-CN" w:bidi="hi-IN"/>
        </w:rPr>
        <w:t xml:space="preserve">pytorch forecasting </w:t>
      </w: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val="ru-RU" w:eastAsia="zh-CN" w:bidi="hi-IN"/>
        </w:rPr>
        <w:t>умеет работать с множественными наблюдениями на 1 момент времени;</w:t>
      </w:r>
    </w:p>
    <w:p>
      <w:pPr>
        <w:pStyle w:val="Standard"/>
        <w:numPr>
          <w:ilvl w:val="1"/>
          <w:numId w:val="10"/>
        </w:numPr>
        <w:rPr/>
      </w:pP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val="ru-RU" w:eastAsia="zh-CN" w:bidi="hi-IN"/>
        </w:rPr>
        <w:t xml:space="preserve">Был подготовлен </w:t>
      </w: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val="en-US" w:eastAsia="zh-CN" w:bidi="hi-IN"/>
        </w:rPr>
        <w:t xml:space="preserve">dataset </w:t>
      </w: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val="ru-RU" w:eastAsia="zh-CN" w:bidi="hi-IN"/>
        </w:rPr>
        <w:t xml:space="preserve">и </w:t>
      </w: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val="en-US" w:eastAsia="zh-CN" w:bidi="hi-IN"/>
        </w:rPr>
        <w:t xml:space="preserve">dataloaded </w:t>
      </w: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val="ru-RU" w:eastAsia="zh-CN" w:bidi="hi-IN"/>
        </w:rPr>
        <w:t xml:space="preserve">в формате </w:t>
      </w:r>
      <w:r>
        <w:rPr>
          <w:rFonts w:eastAsia="NSimSun" w:cs="Arial"/>
          <w:b w:val="false"/>
          <w:color w:val="000000"/>
          <w:kern w:val="2"/>
          <w:sz w:val="28"/>
          <w:szCs w:val="24"/>
          <w:shd w:fill="FFFFFF" w:val="clear"/>
          <w:lang w:val="en-US" w:eastAsia="zh-CN" w:bidi="hi-IN"/>
        </w:rPr>
        <w:t>pytorch.</w:t>
      </w:r>
    </w:p>
    <w:p>
      <w:pPr>
        <w:pStyle w:val="2"/>
        <w:rPr/>
      </w:pPr>
      <w:bookmarkStart w:id="8" w:name="__RefHeading___Toc2375_2022857931"/>
      <w:bookmarkEnd w:id="8"/>
      <w:r>
        <w:rPr/>
        <w:t>Построение моделей</w:t>
      </w:r>
    </w:p>
    <w:p>
      <w:pPr>
        <w:pStyle w:val="Standard"/>
        <w:rPr>
          <w:lang w:val="ru-RU"/>
        </w:rPr>
      </w:pPr>
      <w:r>
        <w:rPr>
          <w:lang w:val="ru-RU"/>
        </w:rPr>
        <w:t>На основе обучающих выборок, для целевой переменной «Средняя скорость изменения давления на приеме насоса в ЧАС, МПа/час» я построил 4 модели, описанных выше, которые я отбирал на основе баланса новизны и простоты применения:</w:t>
      </w:r>
    </w:p>
    <w:p>
      <w:pPr>
        <w:pStyle w:val="Standard"/>
        <w:numPr>
          <w:ilvl w:val="0"/>
          <w:numId w:val="6"/>
        </w:numPr>
        <w:rPr>
          <w:lang w:val="en-US"/>
        </w:rPr>
      </w:pPr>
      <w:r>
        <w:rPr>
          <w:lang w:val="en-US"/>
        </w:rPr>
        <w:t>TCN;</w:t>
      </w:r>
    </w:p>
    <w:p>
      <w:pPr>
        <w:pStyle w:val="Standard"/>
        <w:numPr>
          <w:ilvl w:val="0"/>
          <w:numId w:val="6"/>
        </w:numPr>
        <w:rPr>
          <w:lang w:val="en-US"/>
        </w:rPr>
      </w:pPr>
      <w:r>
        <w:rPr>
          <w:lang w:val="en-US"/>
        </w:rPr>
        <w:t>N-Beats;</w:t>
      </w:r>
    </w:p>
    <w:p>
      <w:pPr>
        <w:pStyle w:val="Standard"/>
        <w:numPr>
          <w:ilvl w:val="0"/>
          <w:numId w:val="6"/>
        </w:numPr>
        <w:rPr>
          <w:lang w:val="en-US"/>
        </w:rPr>
      </w:pPr>
      <w:r>
        <w:rPr>
          <w:lang w:val="en-US"/>
        </w:rPr>
        <w:t>Transformer;</w:t>
      </w:r>
    </w:p>
    <w:p>
      <w:pPr>
        <w:pStyle w:val="Standard"/>
        <w:numPr>
          <w:ilvl w:val="0"/>
          <w:numId w:val="6"/>
        </w:numPr>
        <w:rPr>
          <w:lang w:val="en-US"/>
        </w:rPr>
      </w:pPr>
      <w:r>
        <w:rPr>
          <w:lang w:val="en-US"/>
        </w:rPr>
        <w:t>Time Fusion Transformer.</w:t>
      </w:r>
    </w:p>
    <w:p>
      <w:pPr>
        <w:pStyle w:val="Standard"/>
        <w:rPr/>
      </w:pPr>
      <w:r>
        <w:rPr>
          <w:lang w:val="ru-RU"/>
        </w:rPr>
        <w:t xml:space="preserve">Как базовую линию я использовал модель </w:t>
      </w:r>
      <w:r>
        <w:rPr>
          <w:lang w:val="en-US"/>
        </w:rPr>
        <w:t xml:space="preserve">LAMA, </w:t>
      </w:r>
      <w:r>
        <w:rPr>
          <w:lang w:val="ru-RU"/>
        </w:rPr>
        <w:t xml:space="preserve">которая является </w:t>
      </w:r>
      <w:r>
        <w:rPr>
          <w:lang w:val="en-US"/>
        </w:rPr>
        <w:t xml:space="preserve">AutoML </w:t>
      </w:r>
      <w:r>
        <w:rPr>
          <w:lang w:val="ru-RU"/>
        </w:rPr>
        <w:t xml:space="preserve">моделью,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поддерживает автоматический подбор гиперпараметров </w:t>
      </w:r>
      <w:r>
        <w:rPr>
          <w:lang w:val="ru-RU"/>
        </w:rPr>
        <w:t xml:space="preserve">и обучает ансамбль из бустингов </w:t>
      </w:r>
      <w:r>
        <w:rPr>
          <w:lang w:val="ru-RU"/>
        </w:rPr>
        <w:t>в рамках фиксированного</w:t>
      </w:r>
      <w:r>
        <w:rPr>
          <w:lang w:val="ru-RU"/>
        </w:rPr>
        <w:t xml:space="preserve"> врем</w:t>
      </w:r>
      <w:r>
        <w:rPr>
          <w:lang w:val="ru-RU"/>
        </w:rPr>
        <w:t>ени на обучение</w:t>
      </w:r>
      <w:r>
        <w:rPr>
          <w:lang w:val="ru-RU"/>
        </w:rPr>
        <w:t>.</w:t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Standard"/>
        <w:rPr>
          <w:rFonts w:ascii="Times New Roman" w:hAnsi="Times New Roman"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Общий подход к построению и тестированию моделей:</w:t>
      </w:r>
    </w:p>
    <w:p>
      <w:pPr>
        <w:pStyle w:val="Standard"/>
        <w:numPr>
          <w:ilvl w:val="0"/>
          <w:numId w:val="9"/>
        </w:numPr>
        <w:rPr>
          <w:rFonts w:ascii="Times New Roman" w:hAnsi="Times New Roman"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В моделях использовались все независимые переменные;</w:t>
      </w:r>
    </w:p>
    <w:p>
      <w:pPr>
        <w:pStyle w:val="Standard"/>
        <w:numPr>
          <w:ilvl w:val="0"/>
          <w:numId w:val="9"/>
        </w:numPr>
        <w:rPr>
          <w:rFonts w:ascii="Times New Roman" w:hAnsi="Times New Roman"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Прогноз строился на 1 шаг вперед;</w:t>
      </w:r>
    </w:p>
    <w:p>
      <w:pPr>
        <w:pStyle w:val="Standard"/>
        <w:numPr>
          <w:ilvl w:val="0"/>
          <w:numId w:val="9"/>
        </w:numPr>
        <w:rPr>
          <w:rFonts w:ascii="Times New Roman" w:hAnsi="Times New Roman"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Для сравнения модели использовались 4 метрики:</w:t>
      </w:r>
    </w:p>
    <w:p>
      <w:pPr>
        <w:pStyle w:val="Standard"/>
        <w:numPr>
          <w:ilvl w:val="1"/>
          <w:numId w:val="9"/>
        </w:numPr>
        <w:rPr>
          <w:rFonts w:ascii="Times New Roman" w:hAnsi="Times New Roman" w:eastAsia="NSimSun" w:cs="Arial"/>
          <w:color w:val="auto"/>
          <w:kern w:val="2"/>
          <w:sz w:val="28"/>
          <w:szCs w:val="24"/>
          <w:lang w:val="en-US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>SMAPE (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основная метрика для ранжирования моделей) —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симметричная абсолютная ошибка в процентах. Выбрана основной на основе недостатка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MAPE –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при равенстве истинного значения 0,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MAPE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выдает неопределенные значения, так как происходит деление на 0. Специфика данных — в целевой переменной пристуствуют длительные периоды нулевых значений.</w:t>
      </w:r>
    </w:p>
    <w:p>
      <w:pPr>
        <w:pStyle w:val="Standard"/>
        <w:numPr>
          <w:ilvl w:val="1"/>
          <w:numId w:val="9"/>
        </w:numPr>
        <w:rPr>
          <w:rFonts w:ascii="Times New Roman" w:hAnsi="Times New Roman" w:eastAsia="NSimSun" w:cs="Arial"/>
          <w:color w:val="auto"/>
          <w:kern w:val="2"/>
          <w:sz w:val="28"/>
          <w:szCs w:val="24"/>
          <w:lang w:val="en-US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MAE –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средняя абсолютная ошибка;</w:t>
      </w:r>
    </w:p>
    <w:p>
      <w:pPr>
        <w:pStyle w:val="Standard"/>
        <w:numPr>
          <w:ilvl w:val="1"/>
          <w:numId w:val="9"/>
        </w:numPr>
        <w:rPr>
          <w:rFonts w:ascii="Times New Roman" w:hAnsi="Times New Roman" w:eastAsia="NSimSun" w:cs="Arial"/>
          <w:color w:val="auto"/>
          <w:kern w:val="2"/>
          <w:sz w:val="28"/>
          <w:szCs w:val="24"/>
          <w:lang w:val="en-US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R2 –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коэффициент детерминации.</w:t>
      </w:r>
    </w:p>
    <w:p>
      <w:pPr>
        <w:pStyle w:val="Standard"/>
        <w:numPr>
          <w:ilvl w:val="0"/>
          <w:numId w:val="9"/>
        </w:numPr>
        <w:rPr>
          <w:rFonts w:ascii="Times New Roman" w:hAnsi="Times New Roman"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Гиперпараметры были установлены значениями по умолчанию, или подобраны вручную для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максимизации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SMAPE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на валидационных выборках;</w:t>
      </w:r>
    </w:p>
    <w:p>
      <w:pPr>
        <w:pStyle w:val="Standard"/>
        <w:numPr>
          <w:ilvl w:val="0"/>
          <w:numId w:val="9"/>
        </w:numPr>
        <w:rPr>
          <w:rFonts w:ascii="Times New Roman" w:hAnsi="Times New Roman"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Обучение модели шло на 70% первых наблюдений из обучающей выборки, на 30% подбирались гиперпараметры, потом модель обучалась на всей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обучающей выборке;</w:t>
      </w:r>
    </w:p>
    <w:p>
      <w:pPr>
        <w:pStyle w:val="Standard"/>
        <w:numPr>
          <w:ilvl w:val="0"/>
          <w:numId w:val="9"/>
        </w:numPr>
        <w:rPr>
          <w:rFonts w:ascii="Times New Roman" w:hAnsi="Times New Roman"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Валидация и финальные метрики для результов модели проводились на двух отложенных выборках для валидации «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>valid1.csv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» и «valid2.csv». Прогноз моделей на двух выборках и целевая переменная конкатенировались по двум валидацоинным выборкам и на этих данных рассчитаны метрики.</w:t>
      </w:r>
    </w:p>
    <w:p>
      <w:pPr>
        <w:pStyle w:val="Standard"/>
        <w:rPr>
          <w:rFonts w:ascii="Times New Roman" w:hAnsi="Times New Roman" w:eastAsia="NSimSun" w:cs="Arial"/>
          <w:color w:val="auto"/>
          <w:kern w:val="2"/>
          <w:sz w:val="28"/>
          <w:szCs w:val="24"/>
          <w:lang w:val="ru-RU" w:eastAsia="zh-CN" w:bidi="hi-IN"/>
        </w:rPr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 xml:space="preserve">С подробным кодом с реализацией всех методов можно ознакомится на </w:t>
      </w:r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GitHub: </w:t>
      </w:r>
      <w:hyperlink r:id="rId28">
        <w:r>
          <w:rPr>
            <w:rFonts w:eastAsia="NSimSun" w:cs="Arial"/>
            <w:color w:val="auto"/>
            <w:kern w:val="2"/>
            <w:sz w:val="28"/>
            <w:szCs w:val="24"/>
            <w:lang w:val="en-US" w:eastAsia="zh-CN" w:bidi="hi-IN"/>
          </w:rPr>
          <w:t>https://github.com/ksetdekov/ts_transformers</w:t>
        </w:r>
      </w:hyperlink>
      <w:r>
        <w:rPr>
          <w:rFonts w:eastAsia="NSimSun" w:cs="Arial"/>
          <w:color w:val="auto"/>
          <w:kern w:val="2"/>
          <w:sz w:val="28"/>
          <w:szCs w:val="24"/>
          <w:lang w:val="en-US" w:eastAsia="zh-CN" w:bidi="hi-IN"/>
        </w:rPr>
        <w:t xml:space="preserve"> </w:t>
      </w:r>
    </w:p>
    <w:p>
      <w:pPr>
        <w:pStyle w:val="2"/>
        <w:rPr/>
      </w:pPr>
      <w:bookmarkStart w:id="9" w:name="__RefHeading___Toc2377_2022857931"/>
      <w:bookmarkEnd w:id="9"/>
      <w:r>
        <w:rPr/>
        <w:t>Результаты построения моделей</w:t>
      </w:r>
    </w:p>
    <w:p>
      <w:pPr>
        <w:pStyle w:val="Textbody"/>
        <w:rPr>
          <w:lang w:val="ru-RU"/>
        </w:rPr>
      </w:pPr>
      <w:r>
        <w:rPr>
          <w:lang w:val="ru-RU"/>
        </w:rPr>
        <w:t xml:space="preserve">Финальные результаты работы моделей </w:t>
      </w:r>
      <w:r>
        <w:rPr>
          <w:lang w:val="ru-RU"/>
        </w:rPr>
        <w:t xml:space="preserve">на выборке для валидации </w:t>
      </w:r>
      <w:r>
        <w:rPr>
          <w:lang w:val="ru-RU"/>
        </w:rPr>
        <w:t>приведены в таблице ниже:</w:t>
      </w:r>
    </w:p>
    <w:tbl>
      <w:tblPr>
        <w:tblW w:w="9355" w:type="dxa"/>
        <w:jc w:val="left"/>
        <w:tblInd w:w="0" w:type="dxa"/>
        <w:tblLayout w:type="fixed"/>
        <w:tblCellMar>
          <w:top w:w="0" w:type="dxa"/>
          <w:left w:w="0" w:type="dxa"/>
          <w:bottom w:w="150" w:type="dxa"/>
          <w:right w:w="150" w:type="dxa"/>
        </w:tblCellMar>
      </w:tblPr>
      <w:tblGrid>
        <w:gridCol w:w="4458"/>
        <w:gridCol w:w="1782"/>
        <w:gridCol w:w="1557"/>
        <w:gridCol w:w="1558"/>
      </w:tblGrid>
      <w:tr>
        <w:trPr/>
        <w:tc>
          <w:tcPr>
            <w:tcW w:w="4458" w:type="dxa"/>
            <w:tcBorders>
              <w:bottom w:val="single" w:sz="2" w:space="0" w:color="000000"/>
              <w:right w:val="single" w:sz="2" w:space="0" w:color="000000"/>
            </w:tcBorders>
            <w:vAlign w:val="center"/>
          </w:tcPr>
          <w:p>
            <w:pPr>
              <w:pStyle w:val="Style24"/>
              <w:keepNext w:val="tru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 </w:t>
            </w:r>
          </w:p>
        </w:tc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50" w:type="dxa"/>
              <w:left w:w="15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center"/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SMAPE</w:t>
            </w:r>
          </w:p>
        </w:tc>
        <w:tc>
          <w:tcPr>
            <w:tcW w:w="15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50" w:type="dxa"/>
              <w:left w:w="15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center"/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MAE</w:t>
            </w:r>
          </w:p>
        </w:tc>
        <w:tc>
          <w:tcPr>
            <w:tcW w:w="15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50" w:type="dxa"/>
              <w:left w:w="15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center"/>
              <w:rPr>
                <w:sz w:val="24"/>
                <w:szCs w:val="24"/>
              </w:rPr>
            </w:pPr>
            <w:r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R2</w:t>
            </w:r>
          </w:p>
        </w:tc>
      </w:tr>
      <w:tr>
        <w:trPr/>
        <w:tc>
          <w:tcPr>
            <w:tcW w:w="44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50" w:type="dxa"/>
              <w:left w:w="150" w:type="dxa"/>
            </w:tcMar>
            <w:vAlign w:val="center"/>
          </w:tcPr>
          <w:p>
            <w:pPr>
              <w:pStyle w:val="Style24"/>
              <w:keepNext w:val="true"/>
              <w:bidi w:val="0"/>
              <w:spacing w:lineRule="auto" w:line="331" w:before="0" w:after="0"/>
              <w:jc w:val="center"/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TCN</w:t>
            </w:r>
          </w:p>
        </w:tc>
        <w:tc>
          <w:tcPr>
            <w:tcW w:w="1782" w:type="dxa"/>
            <w:tcBorders>
              <w:top w:val="single" w:sz="2" w:space="0" w:color="000000"/>
              <w:left w:val="single" w:sz="2" w:space="0" w:color="000000"/>
            </w:tcBorders>
            <w:tcMar>
              <w:top w:w="150" w:type="dxa"/>
              <w:left w:w="150" w:type="dxa"/>
              <w:bottom w:w="0" w:type="dxa"/>
              <w:right w:w="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0,04443</w:t>
            </w:r>
          </w:p>
        </w:tc>
        <w:tc>
          <w:tcPr>
            <w:tcW w:w="1557" w:type="dxa"/>
            <w:tcBorders>
              <w:top w:val="single" w:sz="2" w:space="0" w:color="000000"/>
            </w:tcBorders>
            <w:tcMar>
              <w:top w:w="150" w:type="dxa"/>
              <w:bottom w:w="0" w:type="dxa"/>
              <w:right w:w="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0,01243</w:t>
            </w:r>
          </w:p>
        </w:tc>
        <w:tc>
          <w:tcPr>
            <w:tcW w:w="1558" w:type="dxa"/>
            <w:tcBorders>
              <w:top w:val="single" w:sz="2" w:space="0" w:color="000000"/>
            </w:tcBorders>
            <w:tcMar>
              <w:top w:w="150" w:type="dxa"/>
              <w:bottom w:w="0" w:type="dxa"/>
              <w:right w:w="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0,97863</w:t>
            </w:r>
          </w:p>
        </w:tc>
      </w:tr>
      <w:tr>
        <w:trPr/>
        <w:tc>
          <w:tcPr>
            <w:tcW w:w="44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50" w:type="dxa"/>
              <w:left w:w="150" w:type="dxa"/>
            </w:tcMar>
            <w:vAlign w:val="center"/>
          </w:tcPr>
          <w:p>
            <w:pPr>
              <w:pStyle w:val="Style24"/>
              <w:keepNext w:val="true"/>
              <w:bidi w:val="0"/>
              <w:spacing w:lineRule="auto" w:line="331" w:before="0" w:after="0"/>
              <w:jc w:val="center"/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Transformer</w:t>
            </w:r>
          </w:p>
        </w:tc>
        <w:tc>
          <w:tcPr>
            <w:tcW w:w="1782" w:type="dxa"/>
            <w:tcBorders>
              <w:left w:val="single" w:sz="2" w:space="0" w:color="000000"/>
            </w:tcBorders>
            <w:tcMar>
              <w:left w:w="150" w:type="dxa"/>
              <w:bottom w:w="0" w:type="dxa"/>
              <w:right w:w="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0,07002</w:t>
            </w:r>
          </w:p>
        </w:tc>
        <w:tc>
          <w:tcPr>
            <w:tcW w:w="1557" w:type="dxa"/>
            <w:tcBorders/>
            <w:tcMar>
              <w:bottom w:w="0" w:type="dxa"/>
              <w:right w:w="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0,02558</w:t>
            </w:r>
          </w:p>
        </w:tc>
        <w:tc>
          <w:tcPr>
            <w:tcW w:w="1558" w:type="dxa"/>
            <w:tcBorders/>
            <w:tcMar>
              <w:bottom w:w="0" w:type="dxa"/>
              <w:right w:w="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0,95225</w:t>
            </w:r>
          </w:p>
        </w:tc>
      </w:tr>
      <w:tr>
        <w:trPr/>
        <w:tc>
          <w:tcPr>
            <w:tcW w:w="44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50" w:type="dxa"/>
              <w:left w:w="150" w:type="dxa"/>
            </w:tcMar>
            <w:vAlign w:val="center"/>
          </w:tcPr>
          <w:p>
            <w:pPr>
              <w:pStyle w:val="Style24"/>
              <w:keepNext w:val="true"/>
              <w:bidi w:val="0"/>
              <w:spacing w:lineRule="auto" w:line="331" w:before="0" w:after="0"/>
              <w:jc w:val="center"/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N-Beats</w:t>
            </w:r>
          </w:p>
        </w:tc>
        <w:tc>
          <w:tcPr>
            <w:tcW w:w="1782" w:type="dxa"/>
            <w:tcBorders>
              <w:left w:val="single" w:sz="2" w:space="0" w:color="000000"/>
            </w:tcBorders>
            <w:tcMar>
              <w:left w:w="150" w:type="dxa"/>
              <w:bottom w:w="0" w:type="dxa"/>
              <w:right w:w="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0,17577</w:t>
            </w:r>
          </w:p>
        </w:tc>
        <w:tc>
          <w:tcPr>
            <w:tcW w:w="1557" w:type="dxa"/>
            <w:tcBorders/>
            <w:tcMar>
              <w:bottom w:w="0" w:type="dxa"/>
              <w:right w:w="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0,08316</w:t>
            </w:r>
          </w:p>
        </w:tc>
        <w:tc>
          <w:tcPr>
            <w:tcW w:w="1558" w:type="dxa"/>
            <w:tcBorders/>
            <w:tcMar>
              <w:bottom w:w="0" w:type="dxa"/>
              <w:right w:w="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0,81066</w:t>
            </w:r>
          </w:p>
        </w:tc>
      </w:tr>
      <w:tr>
        <w:trPr/>
        <w:tc>
          <w:tcPr>
            <w:tcW w:w="44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50" w:type="dxa"/>
              <w:left w:w="150" w:type="dxa"/>
            </w:tcMar>
            <w:vAlign w:val="center"/>
          </w:tcPr>
          <w:p>
            <w:pPr>
              <w:pStyle w:val="Style24"/>
              <w:keepNext w:val="true"/>
              <w:bidi w:val="0"/>
              <w:spacing w:lineRule="auto" w:line="331" w:before="0" w:after="0"/>
              <w:jc w:val="center"/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LAMA AutoML</w:t>
            </w:r>
          </w:p>
        </w:tc>
        <w:tc>
          <w:tcPr>
            <w:tcW w:w="1782" w:type="dxa"/>
            <w:tcBorders>
              <w:left w:val="single" w:sz="2" w:space="0" w:color="000000"/>
            </w:tcBorders>
            <w:tcMar>
              <w:left w:w="150" w:type="dxa"/>
              <w:bottom w:w="0" w:type="dxa"/>
              <w:right w:w="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1,52328</w:t>
            </w:r>
          </w:p>
        </w:tc>
        <w:tc>
          <w:tcPr>
            <w:tcW w:w="1557" w:type="dxa"/>
            <w:tcBorders/>
            <w:tcMar>
              <w:bottom w:w="0" w:type="dxa"/>
              <w:right w:w="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0,05426</w:t>
            </w:r>
          </w:p>
        </w:tc>
        <w:tc>
          <w:tcPr>
            <w:tcW w:w="1558" w:type="dxa"/>
            <w:tcBorders/>
            <w:tcMar>
              <w:bottom w:w="0" w:type="dxa"/>
              <w:right w:w="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0,95214</w:t>
            </w:r>
          </w:p>
        </w:tc>
      </w:tr>
      <w:tr>
        <w:trPr/>
        <w:tc>
          <w:tcPr>
            <w:tcW w:w="44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150" w:type="dxa"/>
              <w:left w:w="15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center"/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Time Fusion Transformer</w:t>
            </w:r>
          </w:p>
        </w:tc>
        <w:tc>
          <w:tcPr>
            <w:tcW w:w="1782" w:type="dxa"/>
            <w:tcBorders>
              <w:left w:val="single" w:sz="2" w:space="0" w:color="000000"/>
            </w:tcBorders>
            <w:tcMar>
              <w:left w:w="150" w:type="dxa"/>
              <w:bottom w:w="0" w:type="dxa"/>
              <w:right w:w="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1,55919</w:t>
            </w:r>
          </w:p>
        </w:tc>
        <w:tc>
          <w:tcPr>
            <w:tcW w:w="1557" w:type="dxa"/>
            <w:tcBorders/>
            <w:tcMar>
              <w:bottom w:w="0" w:type="dxa"/>
              <w:right w:w="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0,03595</w:t>
            </w:r>
          </w:p>
        </w:tc>
        <w:tc>
          <w:tcPr>
            <w:tcW w:w="1558" w:type="dxa"/>
            <w:tcBorders/>
            <w:tcMar>
              <w:bottom w:w="0" w:type="dxa"/>
              <w:right w:w="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  <w:shd w:fill="auto" w:val="clear"/>
              </w:rPr>
              <w:t>0,89242</w:t>
            </w:r>
          </w:p>
        </w:tc>
      </w:tr>
    </w:tbl>
    <w:p>
      <w:pPr>
        <w:pStyle w:val="Textbody"/>
        <w:rPr>
          <w:lang w:val="ru-RU"/>
        </w:rPr>
      </w:pPr>
      <w:r>
        <w:rPr>
          <w:lang w:val="ru-RU"/>
        </w:rPr>
      </w:r>
    </w:p>
    <w:p>
      <w:pPr>
        <w:pStyle w:val="Textbody"/>
        <w:rPr>
          <w:lang w:val="ru-RU"/>
        </w:rPr>
      </w:pPr>
      <w:r>
        <w:rPr>
          <w:lang w:val="ru-RU"/>
        </w:rPr>
        <w:t xml:space="preserve">Для трех из использованных подходов удалось получить </w:t>
      </w:r>
      <w:r>
        <w:rPr>
          <w:lang w:val="en-US"/>
        </w:rPr>
        <w:t xml:space="preserve">SMAPE </w:t>
      </w:r>
      <w:r>
        <w:rPr>
          <w:lang w:val="ru-RU"/>
        </w:rPr>
        <w:t xml:space="preserve">лучше, чем для </w:t>
      </w:r>
      <w:r>
        <w:rPr>
          <w:lang w:val="en-US"/>
        </w:rPr>
        <w:t xml:space="preserve">AutoML </w:t>
      </w:r>
      <w:r>
        <w:rPr>
          <w:lang w:val="ru-RU"/>
        </w:rPr>
        <w:t xml:space="preserve">подхода, при этом лучший результат получен для модели </w:t>
      </w:r>
      <w:r>
        <w:rPr>
          <w:lang w:val="en-US"/>
        </w:rPr>
        <w:t>TCN.</w:t>
      </w:r>
    </w:p>
    <w:p>
      <w:pPr>
        <w:pStyle w:val="TableofFigures"/>
        <w:spacing w:before="120" w:after="120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2743200" cy="2743200"/>
            <wp:effectExtent l="0" t="0" r="0" b="0"/>
            <wp:wrapTopAndBottom/>
            <wp:docPr id="17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3197225</wp:posOffset>
            </wp:positionH>
            <wp:positionV relativeFrom="paragraph">
              <wp:posOffset>635</wp:posOffset>
            </wp:positionV>
            <wp:extent cx="2743200" cy="2743200"/>
            <wp:effectExtent l="0" t="0" r="0" b="0"/>
            <wp:wrapTopAndBottom/>
            <wp:docPr id="18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8</w:t>
      </w:r>
      <w:r>
        <w:rPr/>
        <w:fldChar w:fldCharType="end"/>
      </w:r>
      <w:r>
        <w:rPr/>
        <w:t xml:space="preserve">: </w:t>
      </w:r>
      <w:r>
        <w:rPr/>
        <w:t xml:space="preserve">Пример прогноза моделей в сравнении с истинным значением </w:t>
      </w:r>
    </w:p>
    <w:p>
      <w:pPr>
        <w:pStyle w:val="Normal"/>
        <w:rPr/>
      </w:pPr>
      <w:r>
        <w:rPr/>
        <w:t>На графиках выше, мы видим визуальное сравнение качество прогноза моделей для лучшего и для худшего насоса в валидационной выборке.</w:t>
      </w:r>
    </w:p>
    <w:p>
      <w:pPr>
        <w:pStyle w:val="Normal"/>
        <w:rPr/>
      </w:pPr>
      <w:r>
        <w:rPr/>
        <w:t xml:space="preserve">Пример лучшего прогноза для модели </w:t>
      </w:r>
      <w:r>
        <w:rPr>
          <w:lang w:val="en-US"/>
        </w:rPr>
        <w:t xml:space="preserve">TCN </w:t>
      </w:r>
      <w:r>
        <w:rPr>
          <w:lang w:val="ru-RU"/>
        </w:rPr>
        <w:t xml:space="preserve">приведен ниже. Мы можем увидеть, что предсказание крайне точно, с </w:t>
      </w:r>
      <w:r>
        <w:rPr>
          <w:lang w:val="en-US"/>
        </w:rPr>
        <w:t xml:space="preserve">SMAPE &lt; 0,014 </w:t>
      </w:r>
      <w:r>
        <w:rPr>
          <w:lang w:val="ru-RU"/>
        </w:rPr>
        <w:t xml:space="preserve">и </w:t>
      </w:r>
      <w:r>
        <w:rPr>
          <w:lang w:val="en-US"/>
        </w:rPr>
        <w:t xml:space="preserve">MAE </w:t>
      </w:r>
      <w:r>
        <w:rPr>
          <w:lang w:val="ru-RU"/>
        </w:rPr>
        <w:t xml:space="preserve">&lt; </w:t>
      </w:r>
      <w:r>
        <w:rPr>
          <w:lang w:val="en-US"/>
        </w:rPr>
        <w:t xml:space="preserve">0,005 </w:t>
      </w:r>
      <w:r>
        <w:rPr>
          <w:lang w:val="ru-RU"/>
        </w:rPr>
        <w:t>для насоса №8</w:t>
      </w:r>
    </w:p>
    <w:p>
      <w:pPr>
        <w:pStyle w:val="Normal"/>
        <w:rPr/>
      </w:pPr>
      <w:r>
        <w:rPr>
          <w:lang w:val="ru-RU"/>
        </w:rPr>
      </w:r>
      <w:r>
        <mc:AlternateContent>
          <mc:Choice Requires="wps">
            <w:drawing>
              <wp:inline distT="0" distB="0" distL="0" distR="0">
                <wp:extent cx="4289425" cy="3192145"/>
                <wp:effectExtent l="0" t="0" r="0" b="0"/>
                <wp:docPr id="19" name="Врезка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9425" cy="319214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32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632835" cy="2505710"/>
                                  <wp:effectExtent l="0" t="0" r="0" b="0"/>
                                  <wp:docPr id="20" name="Изображение1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Изображение1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32835" cy="25057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9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: Факт и прогноз на 1000 наблюдений для модели TCN на </w:t>
                            </w:r>
                            <w:r>
                              <w:rPr>
                                <w:rFonts w:eastAsia="NSimSun" w:cs="Arial"/>
                                <w:i/>
                                <w:iCs/>
                                <w:color w:val="auto"/>
                                <w:kern w:val="2"/>
                                <w:sz w:val="24"/>
                                <w:szCs w:val="24"/>
                                <w:lang w:val="ru-RU" w:eastAsia="zh-CN" w:bidi="hi-IN"/>
                              </w:rPr>
                              <w:t>валидационной выборке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0;width:337.75pt;height:251.35pt;mso-wrap-distance-left:0pt;mso-wrap-distance-right:0pt;mso-wrap-distance-top:0pt;mso-wrap-distance-bottom:0pt;margin-top:0pt;mso-position-vertical-relative:text;margin-left:0.35pt;mso-position-horizontal-relative:text">
                <v:textbox inset="0in,0in,0in,0in">
                  <w:txbxContent>
                    <w:p>
                      <w:pPr>
                        <w:pStyle w:val="Style32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632835" cy="2505710"/>
                            <wp:effectExtent l="0" t="0" r="0" b="0"/>
                            <wp:docPr id="21" name="Изображение1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Изображение1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32835" cy="25057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9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: Факт и прогноз на 1000 наблюдений для модели TCN на </w:t>
                      </w:r>
                      <w:r>
                        <w:rPr>
                          <w:rFonts w:eastAsia="NSimSun" w:cs="Arial"/>
                          <w:i/>
                          <w:iCs/>
                          <w:color w:val="auto"/>
                          <w:kern w:val="2"/>
                          <w:sz w:val="24"/>
                          <w:szCs w:val="24"/>
                          <w:lang w:val="ru-RU" w:eastAsia="zh-CN" w:bidi="hi-IN"/>
                        </w:rPr>
                        <w:t>валидационной выборке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"/>
        <w:rPr/>
      </w:pPr>
      <w:r>
        <w:rPr>
          <w:lang w:val="ru-RU"/>
        </w:rPr>
        <w:t>С</w:t>
      </w:r>
      <w:r>
        <w:rPr>
          <w:lang w:val="ru-RU"/>
        </w:rPr>
        <w:t xml:space="preserve">равнение графиков остатков приведено в приложении на странице </w:t>
      </w:r>
      <w:r>
        <w:rPr>
          <w:lang w:val="ru-RU"/>
        </w:rPr>
        <w:fldChar w:fldCharType="begin"/>
      </w:r>
      <w:r>
        <w:rPr>
          <w:lang w:val="ru-RU"/>
        </w:rPr>
        <w:instrText> PAGEREF __RefHeading___Toc2199_2022857931 \h </w:instrText>
      </w:r>
      <w:r>
        <w:rPr>
          <w:lang w:val="ru-RU"/>
        </w:rPr>
        <w:fldChar w:fldCharType="separate"/>
      </w:r>
      <w:r>
        <w:rPr>
          <w:lang w:val="ru-RU"/>
        </w:rPr>
        <w:t>20</w:t>
      </w:r>
      <w:r>
        <w:rPr>
          <w:lang w:val="ru-RU"/>
        </w:rPr>
        <w:fldChar w:fldCharType="end"/>
      </w:r>
      <w:r>
        <w:rPr>
          <w:lang w:val="ru-RU"/>
        </w:rPr>
        <w:t xml:space="preserve">. К анализу метрик качества моделей,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интерпретация этих</w:t>
      </w:r>
      <w:r>
        <w:rPr>
          <w:lang w:val="ru-RU"/>
        </w:rPr>
        <w:t xml:space="preserve"> графиков может добавить только два момента:</w:t>
      </w:r>
    </w:p>
    <w:p>
      <w:pPr>
        <w:pStyle w:val="Normal"/>
        <w:numPr>
          <w:ilvl w:val="0"/>
          <w:numId w:val="12"/>
        </w:numPr>
        <w:rPr/>
      </w:pPr>
      <w:r>
        <w:rPr>
          <w:lang w:val="ru-RU"/>
        </w:rPr>
        <w:t>Все методы нелинейные, остатки распределены крайне далеко от нормального распределения.</w:t>
      </w:r>
    </w:p>
    <w:p>
      <w:pPr>
        <w:pStyle w:val="Normal"/>
        <w:numPr>
          <w:ilvl w:val="0"/>
          <w:numId w:val="12"/>
        </w:numPr>
        <w:rPr/>
      </w:pPr>
      <w:r>
        <w:rPr>
          <w:lang w:val="ru-RU"/>
        </w:rPr>
        <w:t xml:space="preserve">Мы видим, что для всех методов, </w:t>
      </w:r>
      <w:r>
        <w:rPr>
          <w:lang w:val="ru-RU"/>
        </w:rPr>
        <w:t xml:space="preserve">дисперсия остатков выше для максимальных значений, что применимо к данным означает, что решить задачу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детекции</w:t>
      </w:r>
      <w:r>
        <w:rPr>
          <w:lang w:val="ru-RU"/>
        </w:rPr>
        <w:t xml:space="preserve"> начала аномалии для модели тяжелее, чем предсказать целевую переменную, когда отклонение уже началось.</w:t>
      </w:r>
    </w:p>
    <w:p>
      <w:pPr>
        <w:pStyle w:val="Normal"/>
        <w:rPr>
          <w:lang w:val="ru-RU"/>
        </w:rPr>
      </w:pPr>
      <w:r>
        <w:rPr>
          <w:lang w:val="ru-RU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22">
                <wp:simplePos x="0" y="0"/>
                <wp:positionH relativeFrom="column">
                  <wp:posOffset>8255</wp:posOffset>
                </wp:positionH>
                <wp:positionV relativeFrom="paragraph">
                  <wp:posOffset>-10160</wp:posOffset>
                </wp:positionV>
                <wp:extent cx="3366770" cy="5064125"/>
                <wp:effectExtent l="0" t="0" r="0" b="0"/>
                <wp:wrapSquare wrapText="largest"/>
                <wp:docPr id="22" name="Врезка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6770" cy="506412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32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366770" cy="4385945"/>
                                  <wp:effectExtent l="0" t="0" r="0" b="0"/>
                                  <wp:docPr id="23" name="Изображение1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Изображение1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66770" cy="43859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10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Распределение остатков для 3-х моделей в разрезе по насосам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265.1pt;height:398.75pt;mso-wrap-distance-left:0pt;mso-wrap-distance-right:0pt;mso-wrap-distance-top:0pt;mso-wrap-distance-bottom:0pt;margin-top:-0.8pt;mso-position-vertical-relative:text;margin-left:0.65pt;mso-position-horizontal-relative:text">
                <v:textbox inset="0in,0in,0in,0in">
                  <w:txbxContent>
                    <w:p>
                      <w:pPr>
                        <w:pStyle w:val="Style32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366770" cy="4385945"/>
                            <wp:effectExtent l="0" t="0" r="0" b="0"/>
                            <wp:docPr id="24" name="Изображение1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Изображение1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66770" cy="43859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10</w:t>
                      </w:r>
                      <w:r>
                        <w:rPr/>
                        <w:fldChar w:fldCharType="end"/>
                      </w:r>
                      <w:r>
                        <w:rPr/>
                        <w:t>: Распределение остатков для 3-х моделей в разрезе по насосам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rPr>
          <w:lang w:val="ru-RU"/>
        </w:rPr>
      </w:pPr>
      <w:r>
        <w:rPr>
          <w:lang w:val="ru-RU"/>
        </w:rPr>
        <w:t>Анализ остатков в разрезе по насосам, приведенный на графике слева только подтверждает наблюдения, которые сделаны без разреза по насосам — для лучшей модели,</w:t>
      </w:r>
      <w:r>
        <w:rPr>
          <w:lang w:val="en-US"/>
        </w:rPr>
        <w:t xml:space="preserve"> TCN </w:t>
      </w:r>
      <w:r>
        <w:rPr>
          <w:lang w:val="ru-RU"/>
        </w:rPr>
        <w:t xml:space="preserve">разброс остатков в среднем ниже, чем для модели Трансформеров и </w:t>
      </w:r>
      <w:r>
        <w:rPr>
          <w:lang w:val="en-US"/>
        </w:rPr>
        <w:t xml:space="preserve">N-Beats. </w:t>
      </w:r>
      <w:r>
        <w:rPr>
          <w:lang w:val="ru-RU"/>
        </w:rPr>
        <w:t>При этом для каждого насоса можно отметить, что распределения имеют тяжелые хвосты и высокую концентрацию около 0. Систематических отклонений от прогноза для какого-либо насоса не выявлено.</w:t>
      </w:r>
    </w:p>
    <w:p>
      <w:pPr>
        <w:pStyle w:val="1"/>
        <w:rPr/>
      </w:pPr>
      <w:bookmarkStart w:id="10" w:name="__RefHeading___Toc3520_3228052382"/>
      <w:bookmarkEnd w:id="10"/>
      <w:r>
        <w:rPr/>
        <w:t>Заключение</w:t>
      </w:r>
    </w:p>
    <w:p>
      <w:pPr>
        <w:pStyle w:val="Standard"/>
        <w:numPr>
          <w:ilvl w:val="0"/>
          <w:numId w:val="11"/>
        </w:numPr>
        <w:rPr>
          <w:lang w:val="ru-RU"/>
        </w:rPr>
      </w:pPr>
      <w:r>
        <w:rPr>
          <w:b w:val="false"/>
          <w:bCs w:val="false"/>
          <w:lang w:val="ru-RU"/>
        </w:rPr>
        <w:t xml:space="preserve">В рамках этой работы удалось показать, что </w:t>
      </w:r>
      <w:r>
        <w:rPr>
          <w:b w:val="false"/>
          <w:bCs w:val="false"/>
          <w:lang w:val="en-US"/>
        </w:rPr>
        <w:t xml:space="preserve">SOTA </w:t>
      </w:r>
      <w:r>
        <w:rPr>
          <w:b w:val="false"/>
          <w:bCs w:val="false"/>
          <w:lang w:val="ru-RU"/>
        </w:rPr>
        <w:t>модели для много</w:t>
      </w:r>
      <w:r>
        <w:rPr>
          <w:lang w:val="ru-RU"/>
        </w:rPr>
        <w:t xml:space="preserve">компонентных временных рядов работают лучше </w:t>
      </w:r>
      <w:r>
        <w:rPr>
          <w:lang w:val="en-US"/>
        </w:rPr>
        <w:t xml:space="preserve">AutoML </w:t>
      </w:r>
      <w:r>
        <w:rPr>
          <w:lang w:val="ru-RU"/>
        </w:rPr>
        <w:t>подходов (3 из 4 моделей показали лучшее качество на валидации).</w:t>
      </w:r>
    </w:p>
    <w:p>
      <w:pPr>
        <w:pStyle w:val="Standard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На основе анализа эмбеддинга </w:t>
      </w:r>
      <w:r>
        <w:rPr>
          <w:lang w:val="en-US"/>
        </w:rPr>
        <w:t xml:space="preserve">catch22 </w:t>
      </w:r>
      <w:r>
        <w:rPr>
          <w:lang w:val="ru-RU"/>
        </w:rPr>
        <w:t xml:space="preserve">для временных рядов удалось найти связь между характеристиками временных рядов, где модели работали хуже </w:t>
      </w:r>
      <w:r>
        <w:rPr>
          <w:lang w:val="en-US"/>
        </w:rPr>
        <w:t>(</w:t>
      </w:r>
      <w:r>
        <w:rPr>
          <w:lang w:val="ru-RU"/>
        </w:rPr>
        <w:t>в приложении 2, ниже</w:t>
      </w:r>
      <w:r>
        <w:rPr>
          <w:lang w:val="en-US"/>
        </w:rPr>
        <w:t>)</w:t>
      </w:r>
      <w:r>
        <w:rPr>
          <w:lang w:val="ru-RU"/>
        </w:rPr>
        <w:t xml:space="preserve">. </w:t>
      </w:r>
      <w:r>
        <w:rPr>
          <w:lang w:val="ru-RU"/>
        </w:rPr>
        <w:t xml:space="preserve">Интерпретируемый вывод из этого — можно оценивать отклонение распределения целевой переменной в прогнозах и таким образом </w:t>
      </w:r>
      <w:r>
        <w:rPr>
          <w:lang w:val="ru-RU"/>
        </w:rPr>
        <w:t xml:space="preserve">детектировать заранее снижение кажества прогнозов. Также, </w:t>
      </w: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анали</w:t>
      </w:r>
      <w:r>
        <w:rPr>
          <w:lang w:val="ru-RU"/>
        </w:rPr>
        <w:t xml:space="preserve"> </w:t>
      </w:r>
      <w:r>
        <w:rPr>
          <w:lang w:val="ru-RU"/>
        </w:rPr>
        <w:t xml:space="preserve">3 комонент DN_HistogramMode_5, DN_HistogramMode_10 и </w:t>
      </w:r>
      <w:r>
        <w:rPr>
          <w:rFonts w:eastAsia="NSimSun" w:cs="Arial"/>
          <w:b w:val="false"/>
          <w:i w:val="false"/>
          <w:caps w:val="false"/>
          <w:smallCaps w:val="false"/>
          <w:strike w:val="false"/>
          <w:dstrike w:val="false"/>
          <w:color w:val="000000"/>
          <w:kern w:val="2"/>
          <w:sz w:val="28"/>
          <w:szCs w:val="24"/>
          <w:u w:val="none"/>
          <w:effect w:val="none"/>
          <w:shd w:fill="auto" w:val="clear"/>
          <w:lang w:val="ru-RU" w:eastAsia="zh-CN" w:bidi="hi-IN"/>
        </w:rPr>
        <w:t xml:space="preserve">CO_HistogramAMI_even_2_5 </w:t>
      </w:r>
      <w:r>
        <w:rPr>
          <w:rFonts w:eastAsia="NSimSun" w:cs="Arial"/>
          <w:b w:val="false"/>
          <w:i w:val="false"/>
          <w:caps w:val="false"/>
          <w:smallCaps w:val="false"/>
          <w:strike w:val="false"/>
          <w:dstrike w:val="false"/>
          <w:color w:val="000000"/>
          <w:kern w:val="2"/>
          <w:sz w:val="28"/>
          <w:szCs w:val="24"/>
          <w:u w:val="none"/>
          <w:effect w:val="none"/>
          <w:shd w:fill="auto" w:val="clear"/>
          <w:lang w:val="ru-RU" w:eastAsia="zh-CN" w:bidi="hi-IN"/>
        </w:rPr>
        <w:t xml:space="preserve">отвчающих за форму распределения указывает на то, что хуже всего методы Трансформов и </w:t>
      </w:r>
      <w:r>
        <w:rPr>
          <w:rFonts w:eastAsia="NSimSun" w:cs="Arial"/>
          <w:b w:val="false"/>
          <w:i w:val="false"/>
          <w:caps w:val="false"/>
          <w:smallCaps w:val="false"/>
          <w:strike w:val="false"/>
          <w:dstrike w:val="false"/>
          <w:color w:val="000000"/>
          <w:kern w:val="2"/>
          <w:sz w:val="28"/>
          <w:szCs w:val="24"/>
          <w:u w:val="none"/>
          <w:effect w:val="none"/>
          <w:shd w:fill="auto" w:val="clear"/>
          <w:lang w:val="en-US" w:eastAsia="zh-CN" w:bidi="hi-IN"/>
        </w:rPr>
        <w:t xml:space="preserve">N-Beats </w:t>
      </w:r>
      <w:r>
        <w:rPr>
          <w:rFonts w:eastAsia="NSimSun" w:cs="Arial"/>
          <w:b w:val="false"/>
          <w:i w:val="false"/>
          <w:caps w:val="false"/>
          <w:smallCaps w:val="false"/>
          <w:strike w:val="false"/>
          <w:dstrike w:val="false"/>
          <w:color w:val="000000"/>
          <w:kern w:val="2"/>
          <w:sz w:val="28"/>
          <w:szCs w:val="24"/>
          <w:u w:val="none"/>
          <w:effect w:val="none"/>
          <w:shd w:fill="auto" w:val="clear"/>
          <w:lang w:val="ru-RU" w:eastAsia="zh-CN" w:bidi="hi-IN"/>
        </w:rPr>
        <w:t>сработали для групп насосов, где в обучающей выборке было меньше отклонений от константного значения. Потенциально решением может быть проведение балансировки обучающей выборки или накопления большего объема данных.</w:t>
      </w:r>
    </w:p>
    <w:p>
      <w:pPr>
        <w:pStyle w:val="Standard"/>
        <w:numPr>
          <w:ilvl w:val="0"/>
          <w:numId w:val="11"/>
        </w:numPr>
        <w:rPr>
          <w:lang w:val="ru-RU"/>
        </w:rPr>
      </w:pPr>
      <w:r>
        <w:rPr>
          <w:rFonts w:eastAsia="NSimSun" w:cs="Arial"/>
          <w:b w:val="false"/>
          <w:i w:val="false"/>
          <w:caps w:val="false"/>
          <w:smallCaps w:val="false"/>
          <w:strike w:val="false"/>
          <w:dstrike w:val="false"/>
          <w:color w:val="000000"/>
          <w:kern w:val="2"/>
          <w:sz w:val="28"/>
          <w:szCs w:val="24"/>
          <w:u w:val="none"/>
          <w:effect w:val="none"/>
          <w:shd w:fill="auto" w:val="clear"/>
          <w:lang w:val="ru-RU" w:eastAsia="zh-CN" w:bidi="hi-IN"/>
        </w:rPr>
        <w:t>М</w:t>
      </w:r>
      <w:r>
        <w:rPr>
          <w:rFonts w:eastAsia="NSimSun" w:cs="Arial"/>
          <w:b w:val="false"/>
          <w:i w:val="false"/>
          <w:caps w:val="false"/>
          <w:smallCaps w:val="false"/>
          <w:strike w:val="false"/>
          <w:dstrike w:val="false"/>
          <w:color w:val="000000"/>
          <w:kern w:val="2"/>
          <w:sz w:val="28"/>
          <w:szCs w:val="24"/>
          <w:u w:val="none"/>
          <w:effect w:val="none"/>
          <w:shd w:fill="auto" w:val="clear"/>
          <w:lang w:val="ru-RU" w:eastAsia="zh-CN" w:bidi="hi-IN"/>
        </w:rPr>
        <w:t xml:space="preserve">одель </w:t>
      </w:r>
      <w:r>
        <w:rPr>
          <w:rFonts w:eastAsia="NSimSun" w:cs="Arial"/>
          <w:b w:val="false"/>
          <w:i w:val="false"/>
          <w:caps w:val="false"/>
          <w:smallCaps w:val="false"/>
          <w:strike w:val="false"/>
          <w:dstrike w:val="false"/>
          <w:color w:val="000000"/>
          <w:kern w:val="2"/>
          <w:sz w:val="28"/>
          <w:szCs w:val="24"/>
          <w:u w:val="none"/>
          <w:effect w:val="none"/>
          <w:shd w:fill="auto" w:val="clear"/>
          <w:lang w:val="en-US" w:eastAsia="zh-CN" w:bidi="hi-IN"/>
        </w:rPr>
        <w:t xml:space="preserve">time fusion transformer </w:t>
      </w:r>
      <w:r>
        <w:rPr>
          <w:rFonts w:eastAsia="NSimSun" w:cs="Arial"/>
          <w:b w:val="false"/>
          <w:i w:val="false"/>
          <w:caps w:val="false"/>
          <w:smallCaps w:val="false"/>
          <w:strike w:val="false"/>
          <w:dstrike w:val="false"/>
          <w:color w:val="000000"/>
          <w:kern w:val="2"/>
          <w:sz w:val="28"/>
          <w:szCs w:val="24"/>
          <w:u w:val="none"/>
          <w:effect w:val="none"/>
          <w:shd w:fill="auto" w:val="clear"/>
          <w:lang w:val="ru-RU" w:eastAsia="zh-CN" w:bidi="hi-IN"/>
        </w:rPr>
        <w:t>на доступных данных имела тенденцию к переобучению, что можно связать с большим числом весов даже в базовой модели (160 тысяч весов и 140 тысяч наблюдений).</w:t>
      </w:r>
    </w:p>
    <w:p>
      <w:pPr>
        <w:pStyle w:val="Standard"/>
        <w:numPr>
          <w:ilvl w:val="0"/>
          <w:numId w:val="11"/>
        </w:numPr>
        <w:rPr>
          <w:lang w:val="ru-RU"/>
        </w:rPr>
      </w:pPr>
      <w:r>
        <w:rPr>
          <w:rFonts w:eastAsia="NSimSun" w:cs="Arial"/>
          <w:b w:val="false"/>
          <w:i w:val="false"/>
          <w:caps w:val="false"/>
          <w:smallCaps w:val="false"/>
          <w:strike w:val="false"/>
          <w:dstrike w:val="false"/>
          <w:color w:val="000000"/>
          <w:kern w:val="2"/>
          <w:sz w:val="28"/>
          <w:szCs w:val="24"/>
          <w:u w:val="none"/>
          <w:effect w:val="none"/>
          <w:shd w:fill="auto" w:val="clear"/>
          <w:lang w:val="ru-RU" w:eastAsia="zh-CN" w:bidi="hi-IN"/>
        </w:rPr>
        <w:t xml:space="preserve">Для моделей трансформеров, временные ряды, по которым лучше всего работал прогноз были похожи на данные из области финансов, а ряды с худшим качеством на </w:t>
      </w:r>
      <w:r>
        <w:rPr>
          <w:rFonts w:eastAsia="NSimSun" w:cs="Arial"/>
          <w:b w:val="false"/>
          <w:i w:val="false"/>
          <w:caps w:val="false"/>
          <w:smallCaps w:val="false"/>
          <w:strike w:val="false"/>
          <w:dstrike w:val="false"/>
          <w:color w:val="000000"/>
          <w:kern w:val="2"/>
          <w:sz w:val="28"/>
          <w:szCs w:val="24"/>
          <w:u w:val="none"/>
          <w:effect w:val="none"/>
          <w:shd w:fill="auto" w:val="clear"/>
          <w:lang w:val="ru-RU" w:eastAsia="zh-CN" w:bidi="hi-IN"/>
        </w:rPr>
        <w:t>валидационной выборке</w:t>
      </w:r>
      <w:r>
        <w:rPr>
          <w:rFonts w:eastAsia="NSimSun" w:cs="Arial"/>
          <w:b w:val="false"/>
          <w:i w:val="false"/>
          <w:caps w:val="false"/>
          <w:smallCaps w:val="false"/>
          <w:strike w:val="false"/>
          <w:dstrike w:val="false"/>
          <w:color w:val="000000"/>
          <w:kern w:val="2"/>
          <w:sz w:val="28"/>
          <w:szCs w:val="24"/>
          <w:u w:val="none"/>
          <w:effect w:val="none"/>
          <w:shd w:fill="auto" w:val="clear"/>
          <w:lang w:val="ru-RU" w:eastAsia="zh-CN" w:bidi="hi-IN"/>
        </w:rPr>
        <w:t xml:space="preserve"> — на временные ряды из области микроэкономики, согласно сравнению результатов из базы данных </w:t>
      </w:r>
      <w:r>
        <w:rPr>
          <w:rFonts w:eastAsia="NSimSun" w:cs="Arial"/>
          <w:b w:val="false"/>
          <w:i w:val="false"/>
          <w:caps w:val="false"/>
          <w:smallCaps w:val="false"/>
          <w:strike w:val="false"/>
          <w:dstrike w:val="false"/>
          <w:color w:val="000000"/>
          <w:kern w:val="2"/>
          <w:sz w:val="28"/>
          <w:szCs w:val="24"/>
          <w:u w:val="none"/>
          <w:effect w:val="none"/>
          <w:shd w:fill="auto" w:val="clear"/>
          <w:lang w:val="en-US" w:eastAsia="zh-CN" w:bidi="hi-IN"/>
        </w:rPr>
        <w:t>CompEngine</w:t>
      </w:r>
      <w:r>
        <w:rPr>
          <w:rStyle w:val="Style13"/>
          <w:rFonts w:eastAsia="NSimSun" w:cs="Arial"/>
          <w:b w:val="false"/>
          <w:i w:val="false"/>
          <w:caps w:val="false"/>
          <w:smallCaps w:val="false"/>
          <w:strike w:val="false"/>
          <w:dstrike w:val="false"/>
          <w:color w:val="000000"/>
          <w:kern w:val="2"/>
          <w:sz w:val="28"/>
          <w:szCs w:val="24"/>
          <w:u w:val="none"/>
          <w:effect w:val="none"/>
          <w:shd w:fill="auto" w:val="clear"/>
          <w:lang w:val="en-US" w:eastAsia="zh-CN" w:bidi="hi-IN"/>
        </w:rPr>
        <w:footnoteReference w:id="10"/>
      </w:r>
      <w:r>
        <w:rPr>
          <w:rFonts w:eastAsia="NSimSun" w:cs="Arial"/>
          <w:b w:val="false"/>
          <w:i w:val="false"/>
          <w:caps w:val="false"/>
          <w:smallCaps w:val="false"/>
          <w:strike w:val="false"/>
          <w:dstrike w:val="false"/>
          <w:color w:val="000000"/>
          <w:kern w:val="2"/>
          <w:sz w:val="28"/>
          <w:szCs w:val="24"/>
          <w:u w:val="none"/>
          <w:effect w:val="none"/>
          <w:shd w:fill="auto" w:val="clear"/>
          <w:lang w:val="en-US" w:eastAsia="zh-CN" w:bidi="hi-IN"/>
        </w:rPr>
        <w:t>.</w:t>
      </w:r>
    </w:p>
    <w:p>
      <w:pPr>
        <w:pStyle w:val="1"/>
        <w:rPr/>
      </w:pPr>
      <w:bookmarkStart w:id="11" w:name="__RefHeading___Toc3522_3228052382"/>
      <w:bookmarkEnd w:id="11"/>
      <w:r>
        <w:rPr/>
        <w:t>Приложения</w:t>
      </w:r>
    </w:p>
    <w:p>
      <w:pPr>
        <w:pStyle w:val="2"/>
        <w:rPr/>
      </w:pPr>
      <w:bookmarkStart w:id="12" w:name="__RefHeading___Toc726_1315981873"/>
      <w:bookmarkEnd w:id="12"/>
      <w:r>
        <w:rPr/>
        <w:t>Приложение 1. Гиперпараметры для моделей</w:t>
      </w:r>
    </w:p>
    <w:p>
      <w:pPr>
        <w:pStyle w:val="3"/>
        <w:numPr>
          <w:ilvl w:val="2"/>
          <w:numId w:val="2"/>
        </w:numPr>
        <w:rPr/>
      </w:pPr>
      <w:bookmarkStart w:id="13" w:name="__RefHeading___Toc2379_2022857931"/>
      <w:bookmarkEnd w:id="13"/>
      <w:r>
        <w:rPr/>
        <w:t>LAMA</w:t>
      </w:r>
    </w:p>
    <w:p>
      <w:pPr>
        <w:pStyle w:val="Standard"/>
        <w:rPr/>
      </w:pPr>
      <w:r>
        <w:rPr>
          <w:lang w:val="ru-RU"/>
        </w:rPr>
        <w:t>Финальн</w:t>
      </w:r>
      <w:r>
        <w:rPr>
          <w:sz w:val="28"/>
          <w:szCs w:val="28"/>
          <w:lang w:val="ru-RU"/>
        </w:rPr>
        <w:t xml:space="preserve">ая модель обучалась </w:t>
      </w:r>
      <w:r>
        <w:rPr>
          <w:rFonts w:eastAsia="NSimSun" w:cs="Arial"/>
          <w:color w:val="auto"/>
          <w:kern w:val="2"/>
          <w:sz w:val="28"/>
          <w:szCs w:val="28"/>
          <w:lang w:val="ru-RU" w:eastAsia="zh-CN" w:bidi="hi-IN"/>
        </w:rPr>
        <w:t>методом TabularUtilizedAutoML, который подбирает гиперпараметры и строит ансамбли из моделей отталкиваясь от ограничения по времени. Я использовал:</w:t>
      </w:r>
    </w:p>
    <w:p>
      <w:pPr>
        <w:pStyle w:val="Standard"/>
        <w:numPr>
          <w:ilvl w:val="0"/>
          <w:numId w:val="5"/>
        </w:numPr>
        <w:rPr/>
      </w:pPr>
      <w:r>
        <w:rPr>
          <w:rFonts w:eastAsia="NSimSun" w:cs="Arial"/>
          <w:color w:val="auto"/>
          <w:kern w:val="2"/>
          <w:sz w:val="28"/>
          <w:szCs w:val="28"/>
          <w:lang w:val="en-US" w:eastAsia="zh-CN" w:bidi="hi-IN"/>
        </w:rPr>
        <w:t>timeout (</w:t>
      </w:r>
      <w:r>
        <w:rPr>
          <w:rFonts w:eastAsia="NSimSun" w:cs="Arial"/>
          <w:color w:val="auto"/>
          <w:kern w:val="2"/>
          <w:sz w:val="28"/>
          <w:szCs w:val="28"/>
          <w:lang w:val="ru-RU" w:eastAsia="zh-CN" w:bidi="hi-IN"/>
        </w:rPr>
        <w:t>ограничение по времени)</w:t>
      </w:r>
      <w:r>
        <w:rPr>
          <w:rFonts w:eastAsia="NSimSun" w:cs="Arial"/>
          <w:color w:val="auto"/>
          <w:kern w:val="2"/>
          <w:sz w:val="28"/>
          <w:szCs w:val="28"/>
          <w:lang w:val="en-US" w:eastAsia="zh-CN" w:bidi="hi-IN"/>
        </w:rPr>
        <w:t xml:space="preserve"> – 1000 </w:t>
      </w:r>
      <w:r>
        <w:rPr>
          <w:rFonts w:eastAsia="NSimSun" w:cs="Arial"/>
          <w:color w:val="auto"/>
          <w:kern w:val="2"/>
          <w:sz w:val="28"/>
          <w:szCs w:val="28"/>
          <w:lang w:val="ru-RU" w:eastAsia="zh-CN" w:bidi="hi-IN"/>
        </w:rPr>
        <w:t>секунд</w:t>
      </w:r>
    </w:p>
    <w:p>
      <w:pPr>
        <w:pStyle w:val="Standard"/>
        <w:numPr>
          <w:ilvl w:val="0"/>
          <w:numId w:val="5"/>
        </w:numPr>
        <w:rPr/>
      </w:pPr>
      <w:r>
        <w:rPr>
          <w:rFonts w:eastAsia="NSimSun" w:cs="Arial"/>
          <w:color w:val="auto"/>
          <w:kern w:val="2"/>
          <w:sz w:val="28"/>
          <w:szCs w:val="28"/>
          <w:lang w:val="en-US" w:eastAsia="zh-CN" w:bidi="hi-IN"/>
        </w:rPr>
        <w:t xml:space="preserve">cpu_limit </w:t>
      </w:r>
      <w:r>
        <w:rPr>
          <w:rFonts w:eastAsia="NSimSun" w:cs="Arial"/>
          <w:color w:val="auto"/>
          <w:kern w:val="2"/>
          <w:sz w:val="28"/>
          <w:szCs w:val="28"/>
          <w:lang w:val="ru-RU" w:eastAsia="zh-CN" w:bidi="hi-IN"/>
        </w:rPr>
        <w:t xml:space="preserve">(число ядер) </w:t>
      </w:r>
      <w:r>
        <w:rPr>
          <w:rFonts w:eastAsia="NSimSun" w:cs="Arial"/>
          <w:color w:val="auto"/>
          <w:kern w:val="2"/>
          <w:sz w:val="28"/>
          <w:szCs w:val="28"/>
          <w:lang w:val="en-US" w:eastAsia="zh-CN" w:bidi="hi-IN"/>
        </w:rPr>
        <w:t xml:space="preserve">– </w:t>
      </w:r>
      <w:r>
        <w:rPr>
          <w:rFonts w:eastAsia="NSimSun" w:cs="Arial"/>
          <w:color w:val="auto"/>
          <w:kern w:val="2"/>
          <w:sz w:val="28"/>
          <w:szCs w:val="28"/>
          <w:lang w:val="ru-RU" w:eastAsia="zh-CN" w:bidi="hi-IN"/>
        </w:rPr>
        <w:t>10</w:t>
      </w:r>
    </w:p>
    <w:p>
      <w:pPr>
        <w:pStyle w:val="Standard"/>
        <w:numPr>
          <w:ilvl w:val="0"/>
          <w:numId w:val="5"/>
        </w:numPr>
        <w:rPr/>
      </w:pPr>
      <w:r>
        <w:rPr>
          <w:rFonts w:eastAsia="NSimSun" w:cs="Arial"/>
          <w:color w:val="auto"/>
          <w:kern w:val="2"/>
          <w:sz w:val="28"/>
          <w:szCs w:val="28"/>
          <w:lang w:val="en-US" w:eastAsia="zh-CN" w:bidi="hi-IN"/>
        </w:rPr>
        <w:t>cv (</w:t>
      </w:r>
      <w:r>
        <w:rPr>
          <w:rFonts w:eastAsia="NSimSun" w:cs="Arial"/>
          <w:color w:val="auto"/>
          <w:kern w:val="2"/>
          <w:sz w:val="28"/>
          <w:szCs w:val="28"/>
          <w:lang w:val="ru-RU" w:eastAsia="zh-CN" w:bidi="hi-IN"/>
        </w:rPr>
        <w:t xml:space="preserve">кросс-валидация) — </w:t>
      </w:r>
      <w:r>
        <w:rPr>
          <w:rFonts w:eastAsia="NSimSun" w:cs="Arial"/>
          <w:color w:val="auto"/>
          <w:kern w:val="2"/>
          <w:sz w:val="28"/>
          <w:szCs w:val="28"/>
          <w:lang w:val="en-US" w:eastAsia="zh-CN" w:bidi="hi-IN"/>
        </w:rPr>
        <w:t xml:space="preserve">5 </w:t>
      </w:r>
    </w:p>
    <w:p>
      <w:pPr>
        <w:pStyle w:val="Standard"/>
        <w:rPr>
          <w:lang w:val="en-US"/>
        </w:rPr>
      </w:pPr>
      <w:r>
        <w:rPr>
          <w:lang w:val="en-US"/>
        </w:rPr>
      </w:r>
    </w:p>
    <w:p>
      <w:pPr>
        <w:pStyle w:val="3"/>
        <w:numPr>
          <w:ilvl w:val="2"/>
          <w:numId w:val="2"/>
        </w:numPr>
        <w:rPr/>
      </w:pPr>
      <w:bookmarkStart w:id="14" w:name="__RefHeading___Toc2381_2022857931"/>
      <w:bookmarkEnd w:id="14"/>
      <w:r>
        <w:rPr/>
        <w:t>TCN</w:t>
      </w:r>
    </w:p>
    <w:p>
      <w:pPr>
        <w:pStyle w:val="Standard"/>
        <w:rPr/>
      </w:pPr>
      <w:r>
        <w:rPr>
          <w:lang w:val="ru-RU"/>
        </w:rPr>
        <w:t>Финальная модель TCNModel</w:t>
      </w:r>
      <w:r>
        <w:rPr>
          <w:lang w:val="en-US"/>
        </w:rPr>
        <w:t xml:space="preserve"> </w:t>
      </w:r>
      <w:r>
        <w:rPr>
          <w:lang w:val="ru-RU"/>
        </w:rPr>
        <w:t xml:space="preserve">из пакета </w:t>
      </w:r>
      <w:r>
        <w:rPr>
          <w:lang w:val="en-US"/>
        </w:rPr>
        <w:t xml:space="preserve">Darts </w:t>
      </w:r>
      <w:r>
        <w:rPr>
          <w:lang w:val="ru-RU"/>
        </w:rPr>
        <w:t>была обучена со следующими параметрами: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n_epochs (число эпох) — 100;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input_chunk_length (длина входящего окна) — 144;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output_chunk_length (длина прогноза) — 1;</w:t>
      </w:r>
    </w:p>
    <w:p>
      <w:pPr>
        <w:pStyle w:val="Standard"/>
        <w:numPr>
          <w:ilvl w:val="0"/>
          <w:numId w:val="7"/>
        </w:numPr>
        <w:rPr/>
      </w:pPr>
      <w:r>
        <w:rPr>
          <w:lang w:val="ru-RU"/>
        </w:rPr>
        <w:t xml:space="preserve">dropout </w:t>
      </w:r>
      <w:r>
        <w:rPr>
          <w:lang w:val="en-US"/>
        </w:rPr>
        <w:t>(</w:t>
      </w:r>
      <w:r>
        <w:rPr>
          <w:lang w:val="ru-RU"/>
        </w:rPr>
        <w:t>вероятность dropout на сверточных слоях) — 0.01;</w:t>
      </w:r>
    </w:p>
    <w:p>
      <w:pPr>
        <w:pStyle w:val="Standard"/>
        <w:numPr>
          <w:ilvl w:val="0"/>
          <w:numId w:val="7"/>
        </w:numPr>
        <w:rPr/>
      </w:pPr>
      <w:r>
        <w:rPr>
          <w:lang w:val="ru-RU"/>
        </w:rPr>
        <w:t>dilation_base (основание для степенной функции, которая отвечает за расширение рецептивного поля на каждом слое) 2;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weight_norm (использовать нормализацию весов) True;</w:t>
      </w:r>
    </w:p>
    <w:p>
      <w:pPr>
        <w:pStyle w:val="Standard"/>
        <w:numPr>
          <w:ilvl w:val="0"/>
          <w:numId w:val="7"/>
        </w:numPr>
        <w:rPr/>
      </w:pPr>
      <w:r>
        <w:rPr>
          <w:lang w:val="ru-RU"/>
        </w:rPr>
        <w:t xml:space="preserve">kernel_size </w:t>
      </w:r>
      <w:r>
        <w:rPr>
          <w:lang w:val="en-US"/>
        </w:rPr>
        <w:t>(</w:t>
      </w:r>
      <w:r>
        <w:rPr>
          <w:lang w:val="ru-RU"/>
        </w:rPr>
        <w:t>размер ядра сверки</w:t>
      </w:r>
      <w:r>
        <w:rPr>
          <w:lang w:val="en-US"/>
        </w:rPr>
        <w:t xml:space="preserve">) – </w:t>
      </w:r>
      <w:r>
        <w:rPr>
          <w:lang w:val="ru-RU"/>
        </w:rPr>
        <w:t>5;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num_filters (число каналов на каждом слое сверки) — 3.</w:t>
      </w:r>
    </w:p>
    <w:p>
      <w:pPr>
        <w:pStyle w:val="Standard"/>
        <w:rPr>
          <w:lang w:val="ru-RU"/>
        </w:rPr>
      </w:pPr>
      <w:r>
        <w:rPr>
          <w:lang w:val="ru-RU"/>
        </w:rPr>
      </w:r>
    </w:p>
    <w:p>
      <w:pPr>
        <w:pStyle w:val="3"/>
        <w:numPr>
          <w:ilvl w:val="2"/>
          <w:numId w:val="2"/>
        </w:numPr>
        <w:rPr/>
      </w:pPr>
      <w:bookmarkStart w:id="15" w:name="__RefHeading___Toc2383_2022857931"/>
      <w:bookmarkEnd w:id="15"/>
      <w:r>
        <w:rPr/>
        <w:t>N-Beats</w:t>
      </w:r>
    </w:p>
    <w:p>
      <w:pPr>
        <w:pStyle w:val="Standard"/>
        <w:rPr/>
      </w:pPr>
      <w:r>
        <w:rPr>
          <w:lang w:val="ru-RU"/>
        </w:rPr>
        <w:t>Финальная модель NBEATSModel</w:t>
      </w:r>
      <w:r>
        <w:rPr>
          <w:lang w:val="en-US"/>
        </w:rPr>
        <w:t xml:space="preserve"> </w:t>
      </w:r>
      <w:r>
        <w:rPr>
          <w:lang w:val="ru-RU"/>
        </w:rPr>
        <w:t xml:space="preserve">из пакета </w:t>
      </w:r>
      <w:r>
        <w:rPr>
          <w:lang w:val="en-US"/>
        </w:rPr>
        <w:t xml:space="preserve">Darts </w:t>
      </w:r>
      <w:r>
        <w:rPr>
          <w:lang w:val="ru-RU"/>
        </w:rPr>
        <w:t>была обучена со следующими параметрами: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n_epochs (число эпох) — 100;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input_chunk_length (длина входящего окна) — 144;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output_chunk_length (длина прогноза) — 1;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generic_architecture=True,</w:t>
      </w:r>
    </w:p>
    <w:p>
      <w:pPr>
        <w:pStyle w:val="Standard"/>
        <w:numPr>
          <w:ilvl w:val="0"/>
          <w:numId w:val="7"/>
        </w:numPr>
        <w:rPr/>
      </w:pPr>
      <w:r>
        <w:rPr>
          <w:lang w:val="ru-RU"/>
        </w:rPr>
        <w:t xml:space="preserve">num_stacks </w:t>
      </w:r>
      <w:r>
        <w:rPr>
          <w:lang w:val="en-US"/>
        </w:rPr>
        <w:t>(</w:t>
      </w:r>
      <w:r>
        <w:rPr>
          <w:lang w:val="ru-RU"/>
        </w:rPr>
        <w:t>число слоев трендов и сезонностей</w:t>
      </w:r>
      <w:r>
        <w:rPr>
          <w:lang w:val="en-US"/>
        </w:rPr>
        <w:t xml:space="preserve">) </w:t>
      </w:r>
      <w:r>
        <w:rPr>
          <w:lang w:val="ru-RU"/>
        </w:rPr>
        <w:t>— 10,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num_blocks (число блоков в одном слое) — 1,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num_layers (число полносвязных слоев в каждом блоке каждого стэка)— 4,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layer_widths (число нейронов в полносвязных слоях) — 512,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nr_epochs_val_period (сколько эпох ждать до начала теста) —1,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batch_size (размер батча) —800.</w:t>
      </w:r>
    </w:p>
    <w:p>
      <w:pPr>
        <w:pStyle w:val="3"/>
        <w:numPr>
          <w:ilvl w:val="2"/>
          <w:numId w:val="2"/>
        </w:numPr>
        <w:rPr/>
      </w:pPr>
      <w:bookmarkStart w:id="16" w:name="__RefHeading___Toc2385_2022857931"/>
      <w:bookmarkEnd w:id="16"/>
      <w:r>
        <w:rPr/>
        <w:t>Transformer</w:t>
      </w:r>
    </w:p>
    <w:p>
      <w:pPr>
        <w:pStyle w:val="Standard"/>
        <w:rPr/>
      </w:pPr>
      <w:r>
        <w:rPr>
          <w:lang w:val="ru-RU"/>
        </w:rPr>
        <w:t>Финальная модель TransformerModel</w:t>
      </w:r>
      <w:r>
        <w:rPr>
          <w:lang w:val="en-US"/>
        </w:rPr>
        <w:t xml:space="preserve"> </w:t>
      </w:r>
      <w:r>
        <w:rPr>
          <w:lang w:val="ru-RU"/>
        </w:rPr>
        <w:t xml:space="preserve">из пакета </w:t>
      </w:r>
      <w:r>
        <w:rPr>
          <w:lang w:val="en-US"/>
        </w:rPr>
        <w:t xml:space="preserve">Darts </w:t>
      </w:r>
      <w:r>
        <w:rPr>
          <w:lang w:val="ru-RU"/>
        </w:rPr>
        <w:t>была обучена со следующими параметрами: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n_epochs (число эпох) — 100;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input_chunk_length (длина входящего окна) — 144;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output_chunk_length (длина прогноза) — 1;</w:t>
      </w:r>
    </w:p>
    <w:p>
      <w:pPr>
        <w:pStyle w:val="Standard"/>
        <w:numPr>
          <w:ilvl w:val="0"/>
          <w:numId w:val="7"/>
        </w:numPr>
        <w:rPr/>
      </w:pPr>
      <w:r>
        <w:rPr>
          <w:lang w:val="ru-RU"/>
        </w:rPr>
        <w:t xml:space="preserve">dropout </w:t>
      </w:r>
      <w:r>
        <w:rPr>
          <w:lang w:val="en-US"/>
        </w:rPr>
        <w:t>(</w:t>
      </w:r>
      <w:r>
        <w:rPr>
          <w:lang w:val="ru-RU"/>
        </w:rPr>
        <w:t>вероятность dropout на сверточных слоях) — 0.1;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batch_size (размер батча) — 32;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d_model (ожидаемое число фичей) — 32;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nhead (число голов на входе механизма внимания) — 16;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num_encoder_layers (число слоев энкодера) — 3;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num_decoder_layers (число слоев декодера) —3;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dim_feedforward — 512;</w:t>
      </w:r>
    </w:p>
    <w:p>
      <w:pPr>
        <w:pStyle w:val="Standard"/>
        <w:numPr>
          <w:ilvl w:val="0"/>
          <w:numId w:val="7"/>
        </w:numPr>
        <w:rPr/>
      </w:pPr>
      <w:r>
        <w:rPr>
          <w:rFonts w:eastAsia="NSimSun" w:cs="Arial"/>
          <w:color w:val="auto"/>
          <w:kern w:val="2"/>
          <w:sz w:val="28"/>
          <w:szCs w:val="24"/>
          <w:lang w:val="ru-RU" w:eastAsia="zh-CN" w:bidi="hi-IN"/>
        </w:rPr>
        <w:t>функция активации</w:t>
      </w:r>
      <w:r>
        <w:rPr>
          <w:lang w:val="ru-RU"/>
        </w:rPr>
        <w:t xml:space="preserve"> — "relu";</w:t>
      </w:r>
    </w:p>
    <w:p>
      <w:pPr>
        <w:pStyle w:val="Standard"/>
        <w:numPr>
          <w:ilvl w:val="0"/>
          <w:numId w:val="7"/>
        </w:numPr>
        <w:rPr>
          <w:lang w:val="ru-RU"/>
        </w:rPr>
      </w:pPr>
      <w:r>
        <w:rPr>
          <w:lang w:val="ru-RU"/>
        </w:rPr>
        <w:t>остальные параметры — стандартные по-умолчанию</w:t>
      </w:r>
    </w:p>
    <w:p>
      <w:pPr>
        <w:pStyle w:val="Standard"/>
        <w:rPr>
          <w:lang w:val="en-US"/>
        </w:rPr>
      </w:pPr>
      <w:r>
        <w:rPr>
          <w:lang w:val="en-US"/>
        </w:rPr>
        <w:t>Time Fusion Transformer</w:t>
      </w:r>
    </w:p>
    <w:p>
      <w:pPr>
        <w:pStyle w:val="Standard"/>
        <w:rPr/>
      </w:pPr>
      <w:r>
        <w:rPr>
          <w:lang w:val="ru-RU"/>
        </w:rPr>
        <w:t>Финальная модель TemporalFusionTransformer</w:t>
      </w:r>
      <w:r>
        <w:rPr>
          <w:lang w:val="en-US"/>
        </w:rPr>
        <w:t xml:space="preserve"> </w:t>
      </w:r>
      <w:r>
        <w:rPr>
          <w:lang w:val="ru-RU"/>
        </w:rPr>
        <w:t>из пакета pytorch_forecasting</w:t>
      </w:r>
      <w:r>
        <w:rPr>
          <w:lang w:val="en-US"/>
        </w:rPr>
        <w:t xml:space="preserve"> </w:t>
      </w:r>
      <w:r>
        <w:rPr>
          <w:lang w:val="ru-RU"/>
        </w:rPr>
        <w:t>была обучена со следующими параметрами:</w:t>
      </w:r>
    </w:p>
    <w:p>
      <w:pPr>
        <w:pStyle w:val="Standard"/>
        <w:numPr>
          <w:ilvl w:val="0"/>
          <w:numId w:val="8"/>
        </w:numPr>
        <w:rPr/>
      </w:pPr>
      <w:r>
        <w:rPr>
          <w:lang w:val="ru-RU"/>
        </w:rPr>
        <w:t xml:space="preserve">learning_rate </w:t>
      </w:r>
      <w:r>
        <w:rPr>
          <w:lang w:val="en-US"/>
        </w:rPr>
        <w:t>(</w:t>
      </w:r>
      <w:r>
        <w:rPr>
          <w:lang w:val="ru-RU"/>
        </w:rPr>
        <w:t>коэффициент скорости обучения) — 0,1789, подобран на обучающей выборке;</w:t>
      </w:r>
    </w:p>
    <w:p>
      <w:pPr>
        <w:pStyle w:val="Standard"/>
        <w:numPr>
          <w:ilvl w:val="0"/>
          <w:numId w:val="8"/>
        </w:numPr>
        <w:rPr>
          <w:lang w:val="ru-RU"/>
        </w:rPr>
      </w:pPr>
      <w:r>
        <w:rPr>
          <w:lang w:val="ru-RU"/>
        </w:rPr>
        <w:t>размер скрытого слоя — 32;</w:t>
      </w:r>
    </w:p>
    <w:p>
      <w:pPr>
        <w:pStyle w:val="Standard"/>
        <w:numPr>
          <w:ilvl w:val="0"/>
          <w:numId w:val="8"/>
        </w:numPr>
        <w:rPr/>
      </w:pPr>
      <w:r>
        <w:rPr>
          <w:lang w:val="ru-RU"/>
        </w:rPr>
        <w:t xml:space="preserve">dropout </w:t>
      </w:r>
      <w:r>
        <w:rPr>
          <w:lang w:val="en-US"/>
        </w:rPr>
        <w:t>(</w:t>
      </w:r>
      <w:r>
        <w:rPr>
          <w:lang w:val="ru-RU"/>
        </w:rPr>
        <w:t>вероятность dropout на сверточных слоях) — 0.1;</w:t>
      </w:r>
    </w:p>
    <w:p>
      <w:pPr>
        <w:pStyle w:val="Standard"/>
        <w:numPr>
          <w:ilvl w:val="0"/>
          <w:numId w:val="8"/>
        </w:numPr>
        <w:rPr>
          <w:lang w:val="ru-RU"/>
        </w:rPr>
      </w:pPr>
      <w:r>
        <w:rPr>
          <w:lang w:val="ru-RU"/>
        </w:rPr>
        <w:t>остальные параметры — стандартные по-умолчанию.</w:t>
      </w:r>
    </w:p>
    <w:p>
      <w:pPr>
        <w:pStyle w:val="2"/>
        <w:rPr/>
      </w:pPr>
      <w:bookmarkStart w:id="17" w:name="__RefHeading___Toc2387_2022857931"/>
      <w:bookmarkEnd w:id="17"/>
      <w:r>
        <w:rPr/>
        <w:t xml:space="preserve">Приложение </w:t>
      </w:r>
      <w:r>
        <w:rPr>
          <w:rFonts w:eastAsia="NSimSun" w:cs="Arial"/>
          <w:b/>
          <w:bCs/>
          <w:color w:val="auto"/>
          <w:kern w:val="2"/>
          <w:sz w:val="36"/>
          <w:szCs w:val="36"/>
          <w:lang w:val="ru-RU" w:eastAsia="zh-CN" w:bidi="hi-IN"/>
        </w:rPr>
        <w:t>2</w:t>
      </w:r>
      <w:r>
        <w:rPr/>
        <w:t xml:space="preserve">. </w:t>
      </w:r>
      <w:r>
        <w:rPr>
          <w:rFonts w:eastAsia="NSimSun" w:cs="Arial"/>
          <w:b/>
          <w:bCs/>
          <w:color w:val="auto"/>
          <w:kern w:val="2"/>
          <w:sz w:val="36"/>
          <w:szCs w:val="36"/>
          <w:lang w:val="en-US" w:eastAsia="zh-CN" w:bidi="hi-IN"/>
        </w:rPr>
        <w:t xml:space="preserve">p-value </w:t>
      </w:r>
      <w:r>
        <w:rPr>
          <w:rFonts w:eastAsia="NSimSun" w:cs="Arial"/>
          <w:b/>
          <w:bCs/>
          <w:color w:val="auto"/>
          <w:kern w:val="2"/>
          <w:sz w:val="36"/>
          <w:szCs w:val="36"/>
          <w:lang w:val="ru-RU" w:eastAsia="zh-CN" w:bidi="hi-IN"/>
        </w:rPr>
        <w:t xml:space="preserve">для теста на равенство средних значений соответствующего эмбеддинга из </w:t>
      </w:r>
      <w:r>
        <w:rPr>
          <w:rFonts w:eastAsia="NSimSun" w:cs="Arial"/>
          <w:b/>
          <w:bCs/>
          <w:color w:val="auto"/>
          <w:kern w:val="2"/>
          <w:sz w:val="36"/>
          <w:szCs w:val="36"/>
          <w:lang w:val="en-US" w:eastAsia="zh-CN" w:bidi="hi-IN"/>
        </w:rPr>
        <w:t xml:space="preserve">Catch22 </w:t>
      </w:r>
      <w:r>
        <w:rPr>
          <w:rFonts w:eastAsia="NSimSun" w:cs="Arial"/>
          <w:b/>
          <w:bCs/>
          <w:color w:val="auto"/>
          <w:kern w:val="2"/>
          <w:sz w:val="36"/>
          <w:szCs w:val="36"/>
          <w:lang w:val="ru-RU" w:eastAsia="zh-CN" w:bidi="hi-IN"/>
        </w:rPr>
        <w:t xml:space="preserve">в группах насосов, где метод работал выше и ниже медианы по </w:t>
      </w:r>
      <w:r>
        <w:rPr>
          <w:rFonts w:eastAsia="NSimSun" w:cs="Arial"/>
          <w:b/>
          <w:bCs/>
          <w:color w:val="auto"/>
          <w:kern w:val="2"/>
          <w:sz w:val="36"/>
          <w:szCs w:val="36"/>
          <w:lang w:val="en-US" w:eastAsia="zh-CN" w:bidi="hi-IN"/>
        </w:rPr>
        <w:t>SMAPE</w:t>
      </w:r>
    </w:p>
    <w:p>
      <w:pPr>
        <w:pStyle w:val="Normal"/>
        <w:rPr/>
      </w:pPr>
      <w:bookmarkStart w:id="18" w:name="docs-internal-guid-8fa4860b-7fff-63d2-0d"/>
      <w:bookmarkEnd w:id="18"/>
      <w:r>
        <w:rPr>
          <w:rFonts w:eastAsia="NSimSun" w:cs="Arial" w:ascii="Times New Roman" w:hAnsi="Times New Roman"/>
          <w:b/>
          <w:bCs/>
          <w:color w:val="auto"/>
          <w:kern w:val="2"/>
          <w:sz w:val="36"/>
          <w:szCs w:val="36"/>
          <w:lang w:val="en-US" w:eastAsia="zh-CN" w:bidi="hi-IN"/>
        </w:rPr>
        <w:t> </w:t>
      </w:r>
    </w:p>
    <w:tbl>
      <w:tblPr>
        <w:tblW w:w="9351" w:type="dxa"/>
        <w:jc w:val="left"/>
        <w:tblInd w:w="0" w:type="dxa"/>
        <w:tblLayout w:type="fixed"/>
        <w:tblCellMar>
          <w:top w:w="150" w:type="dxa"/>
          <w:left w:w="150" w:type="dxa"/>
          <w:bottom w:w="150" w:type="dxa"/>
          <w:right w:w="150" w:type="dxa"/>
        </w:tblCellMar>
      </w:tblPr>
      <w:tblGrid>
        <w:gridCol w:w="4351"/>
        <w:gridCol w:w="1250"/>
        <w:gridCol w:w="1250"/>
        <w:gridCol w:w="1250"/>
        <w:gridCol w:w="1250"/>
      </w:tblGrid>
      <w:tr>
        <w:trPr/>
        <w:tc>
          <w:tcPr>
            <w:tcW w:w="4351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vAlign w:val="center"/>
          </w:tcPr>
          <w:p>
            <w:pPr>
              <w:pStyle w:val="Style24"/>
              <w:rPr/>
            </w:pPr>
            <w:r>
              <w:rPr/>
              <w:t> </w:t>
            </w:r>
            <w:r>
              <w:rPr>
                <w:lang w:val="ru-RU"/>
              </w:rPr>
              <w:t xml:space="preserve">Компонент эмбеддинга </w:t>
            </w:r>
            <w:r>
              <w:rPr>
                <w:lang w:val="en-US"/>
              </w:rPr>
              <w:t>Catch22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right"/>
              <w:rPr>
                <w:rFonts w:ascii="Arial" w:hAnsi="Arial" w:eastAsia="NSimSun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kern w:val="2"/>
                <w:sz w:val="15"/>
                <w:szCs w:val="24"/>
                <w:u w:val="none"/>
                <w:effect w:val="none"/>
                <w:shd w:fill="auto" w:val="clear"/>
                <w:lang w:val="en-US" w:eastAsia="zh-CN" w:bidi="hi-IN"/>
              </w:rPr>
            </w:pPr>
            <w:r>
              <w:rPr>
                <w:rFonts w:eastAsia="NSimSun" w:cs="Arial"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kern w:val="2"/>
                <w:sz w:val="15"/>
                <w:szCs w:val="24"/>
                <w:u w:val="none"/>
                <w:effect w:val="none"/>
                <w:shd w:fill="auto" w:val="clear"/>
                <w:lang w:val="en-US" w:eastAsia="zh-CN" w:bidi="hi-IN"/>
              </w:rPr>
              <w:t>Transformer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right"/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TCN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right"/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N-Beats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right"/>
              <w:rPr>
                <w:rFonts w:ascii="Arial" w:hAnsi="Arial" w:eastAsia="NSimSun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kern w:val="2"/>
                <w:sz w:val="15"/>
                <w:szCs w:val="24"/>
                <w:u w:val="none"/>
                <w:effect w:val="none"/>
                <w:shd w:fill="auto" w:val="clear"/>
                <w:lang w:val="en-US" w:eastAsia="zh-CN" w:bidi="hi-IN"/>
              </w:rPr>
            </w:pPr>
            <w:r>
              <w:rPr>
                <w:rFonts w:eastAsia="NSimSun" w:cs="Arial"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kern w:val="2"/>
                <w:sz w:val="15"/>
                <w:szCs w:val="24"/>
                <w:u w:val="none"/>
                <w:effect w:val="none"/>
                <w:shd w:fill="auto" w:val="clear"/>
                <w:lang w:val="en-US" w:eastAsia="zh-CN" w:bidi="hi-IN"/>
              </w:rPr>
              <w:t>Time fusion transformer</w:t>
            </w:r>
          </w:p>
        </w:tc>
      </w:tr>
      <w:tr>
        <w:trPr/>
        <w:tc>
          <w:tcPr>
            <w:tcW w:w="4351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DN_HistogramMode_5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shd w:fill="B6D7A8" w:val="clear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0.015071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0.199686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shd w:fill="B6D7A8" w:val="clear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0.010161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0.111029</w:t>
            </w:r>
          </w:p>
        </w:tc>
      </w:tr>
      <w:tr>
        <w:trPr/>
        <w:tc>
          <w:tcPr>
            <w:tcW w:w="4351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DN_HistogramMode_10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shd w:fill="B6D7A8" w:val="clear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0.012908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0.194820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shd w:fill="B6D7A8" w:val="clear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0.008116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0.111845</w:t>
            </w:r>
          </w:p>
        </w:tc>
      </w:tr>
      <w:tr>
        <w:trPr/>
        <w:tc>
          <w:tcPr>
            <w:tcW w:w="4351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CO_f1ecac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0.120809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0.685683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shd w:fill="B6D7A8" w:val="clear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0.088088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shd w:fill="B6D7A8" w:val="clear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0.047290</w:t>
            </w:r>
          </w:p>
        </w:tc>
      </w:tr>
      <w:tr>
        <w:trPr/>
        <w:tc>
          <w:tcPr>
            <w:tcW w:w="4351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CO_HistogramAMI_even_2_5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shd w:fill="B6D7A8" w:val="clear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0.034984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0.327320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shd w:fill="B6D7A8" w:val="clear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0.016642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0.123993</w:t>
            </w:r>
          </w:p>
        </w:tc>
      </w:tr>
      <w:tr>
        <w:trPr/>
        <w:tc>
          <w:tcPr>
            <w:tcW w:w="4351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SB_TransitionMatrix_3ac_sumdiagcov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shd w:fill="B6D7A8" w:val="clear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0.009079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0.146661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shd w:fill="B6D7A8" w:val="clear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0.009079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0.615027</w:t>
            </w:r>
          </w:p>
        </w:tc>
      </w:tr>
      <w:tr>
        <w:trPr/>
        <w:tc>
          <w:tcPr>
            <w:tcW w:w="4351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vAlign w:val="center"/>
          </w:tcPr>
          <w:p>
            <w:pPr>
              <w:pStyle w:val="Style24"/>
              <w:bidi w:val="0"/>
              <w:spacing w:lineRule="auto" w:line="288" w:before="0" w:after="0"/>
              <w:jc w:val="right"/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CO_Embed2_Dist_tau_d_expfit_meandiff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0.107719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0.627726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0.077979</w:t>
            </w:r>
          </w:p>
        </w:tc>
        <w:tc>
          <w:tcPr>
            <w:tcW w:w="1250" w:type="dxa"/>
            <w:tcBorders>
              <w:top w:val="single" w:sz="2" w:space="0" w:color="9E9E9E"/>
              <w:left w:val="single" w:sz="2" w:space="0" w:color="9E9E9E"/>
              <w:bottom w:val="single" w:sz="2" w:space="0" w:color="9E9E9E"/>
              <w:right w:val="single" w:sz="2" w:space="0" w:color="9E9E9E"/>
            </w:tcBorders>
            <w:shd w:fill="B6D7A8" w:val="clear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>
            <w:pPr>
              <w:pStyle w:val="Style24"/>
              <w:bidi w:val="0"/>
              <w:spacing w:lineRule="auto" w:line="331" w:before="0" w:after="0"/>
              <w:jc w:val="right"/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</w:pPr>
            <w:r>
              <w:rPr>
                <w:rFonts w:ascii="Arial" w:hAnsi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15"/>
                <w:u w:val="none"/>
                <w:effect w:val="none"/>
                <w:shd w:fill="auto" w:val="clear"/>
              </w:rPr>
              <w:t>0.025494</w:t>
            </w:r>
          </w:p>
        </w:tc>
      </w:tr>
    </w:tbl>
    <w:p>
      <w:pPr>
        <w:pStyle w:val="Textbody"/>
        <w:rPr>
          <w:rFonts w:ascii="Times New Roman" w:hAnsi="Times New Roman" w:eastAsia="NSimSun" w:cs="Arial"/>
          <w:b/>
          <w:b/>
          <w:bCs/>
          <w:color w:val="auto"/>
          <w:kern w:val="2"/>
          <w:sz w:val="36"/>
          <w:szCs w:val="36"/>
          <w:lang w:val="en-US" w:eastAsia="zh-CN" w:bidi="hi-IN"/>
        </w:rPr>
      </w:pPr>
      <w:r>
        <w:rPr/>
      </w:r>
    </w:p>
    <w:p>
      <w:pPr>
        <w:pStyle w:val="2"/>
        <w:rPr/>
      </w:pPr>
      <w:bookmarkStart w:id="19" w:name="__RefHeading___Toc2199_2022857931"/>
      <w:bookmarkEnd w:id="19"/>
      <w:r>
        <w:rPr>
          <w:rFonts w:eastAsia="NSimSun" w:cs="Arial"/>
          <w:b/>
          <w:bCs/>
          <w:color w:val="auto"/>
          <w:kern w:val="2"/>
          <w:sz w:val="36"/>
          <w:szCs w:val="36"/>
          <w:lang w:val="ru-RU" w:eastAsia="zh-CN" w:bidi="hi-IN"/>
        </w:rPr>
        <w:t xml:space="preserve">Приложение 3. график остатков модели в зависимости от истинного значения и </w:t>
      </w:r>
      <w:r>
        <w:rPr>
          <w:rFonts w:eastAsia="NSimSun" w:cs="Arial"/>
          <w:b/>
          <w:bCs/>
          <w:color w:val="auto"/>
          <w:kern w:val="2"/>
          <w:sz w:val="36"/>
          <w:szCs w:val="36"/>
          <w:lang w:val="en-US" w:eastAsia="zh-CN" w:bidi="hi-IN"/>
        </w:rPr>
        <w:t xml:space="preserve">Q-Q </w:t>
      </w:r>
      <w:r>
        <w:rPr>
          <w:rFonts w:eastAsia="NSimSun" w:cs="Arial"/>
          <w:b/>
          <w:bCs/>
          <w:color w:val="auto"/>
          <w:kern w:val="2"/>
          <w:sz w:val="36"/>
          <w:szCs w:val="36"/>
          <w:lang w:val="ru-RU" w:eastAsia="zh-CN" w:bidi="hi-IN"/>
        </w:rPr>
        <w:t>графики распределения остатков</w:t>
      </w:r>
    </w:p>
    <w:p>
      <w:pPr>
        <w:pStyle w:val="Textbody"/>
        <w:rPr>
          <w:sz w:val="12"/>
          <w:szCs w:val="12"/>
        </w:rPr>
      </w:pPr>
      <w:r>
        <w:rPr>
          <w:sz w:val="12"/>
          <w:szCs w:val="12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-177800</wp:posOffset>
            </wp:positionV>
            <wp:extent cx="5940425" cy="1414780"/>
            <wp:effectExtent l="0" t="0" r="0" b="0"/>
            <wp:wrapSquare wrapText="largest"/>
            <wp:docPr id="25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-7620</wp:posOffset>
            </wp:positionH>
            <wp:positionV relativeFrom="paragraph">
              <wp:posOffset>1356995</wp:posOffset>
            </wp:positionV>
            <wp:extent cx="5940425" cy="1583690"/>
            <wp:effectExtent l="0" t="0" r="0" b="0"/>
            <wp:wrapSquare wrapText="largest"/>
            <wp:docPr id="26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rPr/>
      </w:pPr>
      <w:bookmarkStart w:id="20" w:name="__RefHeading___Toc5291_2022857931"/>
      <w:bookmarkEnd w:id="20"/>
      <w:r>
        <w:rPr/>
        <w:t>Список литературы</w:t>
      </w:r>
    </w:p>
    <w:p>
      <w:pPr>
        <w:pStyle w:val="12"/>
        <w:tabs>
          <w:tab w:val="clear" w:pos="9355"/>
        </w:tabs>
        <w:rPr/>
      </w:pPr>
      <w:r>
        <w:fldChar w:fldCharType="begin"/>
      </w:r>
      <w:r>
        <w:rPr/>
        <w:instrText> BIBLIOGRAPHY </w:instrText>
      </w:r>
      <w:r>
        <w:rPr/>
        <w:fldChar w:fldCharType="separate"/>
      </w:r>
      <w:r>
        <w:rPr/>
        <w:t>1: Ashish Vaswani, Noam Shazeer, Niki Parmar, Jakob Uszkoreit, Llion Jones, Aidan N. Gomez, Lukasz Kaiser, Illia Polosukhin, Attention is All You Need, 2017</w:t>
      </w:r>
    </w:p>
    <w:p>
      <w:pPr>
        <w:pStyle w:val="12"/>
        <w:tabs>
          <w:tab w:val="clear" w:pos="9355"/>
        </w:tabs>
        <w:rPr/>
      </w:pPr>
      <w:r>
        <w:rPr/>
        <w:t xml:space="preserve">2: Minhao Liu, Ailing Zeng, Zhijian Xu, Qiuxia Lai, Qiang Xu, Time Series is a Special Sequence: Forecasting with Sample Convolution and Interaction, </w:t>
      </w:r>
    </w:p>
    <w:p>
      <w:pPr>
        <w:pStyle w:val="12"/>
        <w:tabs>
          <w:tab w:val="clear" w:pos="9355"/>
        </w:tabs>
        <w:rPr/>
      </w:pPr>
      <w:r>
        <w:rPr/>
        <w:t xml:space="preserve">3: Jacek Klimek, Jakub Klimek, Witold Kraskiewicz, Mateusz Topolewski , Long-term series forecasting with Query Selector -- efficient model of sparse attention, </w:t>
      </w:r>
    </w:p>
    <w:p>
      <w:pPr>
        <w:pStyle w:val="12"/>
        <w:tabs>
          <w:tab w:val="clear" w:pos="9355"/>
        </w:tabs>
        <w:rPr/>
      </w:pPr>
      <w:r>
        <w:rPr/>
        <w:t xml:space="preserve">4: Haoyi Zhou, Shanghang Zhang, Jieqi Peng, Shuai Zhang, Jianxin Li, Hui Xiong, Wancai Zhang , Informer: Beyond Efficient Transformer for Long Sequence Time-Series Forecasting, </w:t>
      </w:r>
    </w:p>
    <w:p>
      <w:pPr>
        <w:pStyle w:val="12"/>
        <w:tabs>
          <w:tab w:val="clear" w:pos="9355"/>
        </w:tabs>
        <w:rPr/>
      </w:pPr>
      <w:r>
        <w:rPr/>
        <w:t xml:space="preserve">5: Yitian Chen, Yanfei Kang, Yixiong Chen, Zizhuo Wang, Probabilistic Forecasting with Temporal Convolutional Neural Network, </w:t>
      </w:r>
    </w:p>
    <w:p>
      <w:pPr>
        <w:pStyle w:val="12"/>
        <w:tabs>
          <w:tab w:val="clear" w:pos="9355"/>
        </w:tabs>
        <w:rPr/>
      </w:pPr>
      <w:r>
        <w:rPr/>
        <w:t xml:space="preserve">6: Boris N. Oreshkin, Dmitri Carpov, Nicolas Chapados, Yoshua Bengio, N-BEATS: Neural basis expansion analysis for interpretable time series forecasting, </w:t>
      </w:r>
    </w:p>
    <w:p>
      <w:pPr>
        <w:pStyle w:val="12"/>
        <w:tabs>
          <w:tab w:val="clear" w:pos="9355"/>
        </w:tabs>
        <w:rPr/>
      </w:pPr>
      <w:r>
        <w:rPr/>
        <w:t xml:space="preserve">7: Bryan Lim, Sercan O. Arik, Nicolas Loeff, Tomas Pfister, Temporal Fusion Transformers for Interpretable Multi-horizon Time Series Forecasting, </w:t>
      </w:r>
    </w:p>
    <w:p>
      <w:pPr>
        <w:pStyle w:val="12"/>
        <w:tabs>
          <w:tab w:val="clear" w:pos="9355"/>
        </w:tabs>
        <w:rPr/>
      </w:pPr>
      <w:r>
        <w:rPr/>
        <w:t xml:space="preserve">8: S Abdurakipov, On increasing the efficiency of electric submersible pumps by using big data processing technologies, </w:t>
      </w:r>
      <w:r>
        <w:rPr/>
        <w:fldChar w:fldCharType="end"/>
      </w:r>
    </w:p>
    <w:p>
      <w:pPr>
        <w:pStyle w:val="Textbody"/>
        <w:spacing w:before="240" w:after="120"/>
        <w:rPr/>
      </w:pPr>
      <w:r>
        <w:rPr/>
      </w:r>
    </w:p>
    <w:sectPr>
      <w:footerReference w:type="default" r:id="rId37"/>
      <w:footerReference w:type="first" r:id="rId38"/>
      <w:footnotePr>
        <w:numFmt w:val="decimal"/>
      </w:footnotePr>
      <w:type w:val="nextPage"/>
      <w:pgSz w:w="11906" w:h="16838"/>
      <w:pgMar w:left="1984" w:right="567" w:gutter="0" w:header="0" w:top="1276" w:footer="1276" w:bottom="2041"/>
      <w:pgNumType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Times New Roman">
    <w:charset w:val="cc"/>
    <w:family w:val="swiss"/>
    <w:pitch w:val="variable"/>
  </w:font>
  <w:font w:name="Calibri Light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Arial">
    <w:charset w:val="cc"/>
    <w:family w:val="roman"/>
    <w:pitch w:val="variable"/>
  </w:font>
  <w:font w:name="SFMono-Regular">
    <w:altName w:val="Menlo"/>
    <w:charset w:val="cc"/>
    <w:family w:val="auto"/>
    <w:pitch w:val="default"/>
  </w:font>
  <w:font w:name="Arial">
    <w:charset w:val="cc"/>
    <w:family w:val="auto"/>
    <w:pitch w:val="default"/>
  </w:font>
  <w:font w:name="OpenSymbol">
    <w:altName w:val="Arial Unicode MS"/>
    <w:charset w:val="01"/>
    <w:family w:val="auto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30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21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30"/>
      <w:jc w:val="right"/>
      <w:rPr/>
    </w:pPr>
    <w:r>
      <w:rPr/>
    </w:r>
  </w:p>
</w:ftr>
</file>

<file path=word/footnotes.xml><?xml version="1.0" encoding="utf-8"?>
<w:footnote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footnote w:id="0" w:type="separator">
    <w:p>
      <w:pPr>
        <w:rPr>
          <w:sz w:val="12"/>
        </w:rPr>
      </w:pPr>
      <w:r>
        <w:separator/>
      </w:r>
    </w:p>
  </w:footnote>
  <w:footnote w:id="1" w:type="continuationSeparator">
    <w:p>
      <w:pPr>
        <w:rPr>
          <w:sz w:val="12"/>
        </w:rPr>
      </w:pPr>
      <w:r>
        <w:continuationSeparator/>
      </w:r>
    </w:p>
  </w:footnote>
  <w:footnote w:id="2">
    <w:p>
      <w:pPr>
        <w:pStyle w:val="Style26"/>
        <w:rPr/>
      </w:pPr>
      <w:r>
        <w:rPr>
          <w:rStyle w:val="Style14"/>
        </w:rPr>
        <w:footnoteRef/>
      </w:r>
      <w:hyperlink r:id="rId1">
        <w:r>
          <w:rPr/>
          <w:t>https://paperswithcode.com/sota/time-series-forecasting-on-etth2-720</w:t>
        </w:r>
      </w:hyperlink>
      <w:hyperlink r:id="rId2">
        <w:r>
          <w:rPr/>
          <w:t xml:space="preserve"> </w:t>
        </w:r>
      </w:hyperlink>
    </w:p>
  </w:footnote>
  <w:footnote w:id="3">
    <w:p>
      <w:pPr>
        <w:pStyle w:val="Footnote"/>
        <w:rPr>
          <w:lang w:val="en-US"/>
        </w:rPr>
      </w:pPr>
      <w:r>
        <w:rPr>
          <w:rStyle w:val="Style14"/>
        </w:rPr>
        <w:footnoteRef/>
      </w:r>
      <w:r>
        <w:rPr>
          <w:lang w:val="en-US"/>
        </w:rPr>
        <w:tab/>
        <w:t>https://github.com/cure-lab/SCINet</w:t>
      </w:r>
    </w:p>
  </w:footnote>
  <w:footnote w:id="4">
    <w:p>
      <w:pPr>
        <w:pStyle w:val="Footnote"/>
        <w:rPr>
          <w:lang w:val="en-US"/>
        </w:rPr>
      </w:pPr>
      <w:r>
        <w:rPr>
          <w:rStyle w:val="Style14"/>
        </w:rPr>
        <w:footnoteRef/>
      </w:r>
      <w:r>
        <w:rPr>
          <w:lang w:val="en-US"/>
        </w:rPr>
        <w:tab/>
        <w:t>https://github.com/moraieu/query-selector</w:t>
      </w:r>
    </w:p>
  </w:footnote>
  <w:footnote w:id="5">
    <w:p>
      <w:pPr>
        <w:pStyle w:val="Footnote"/>
        <w:rPr/>
      </w:pPr>
      <w:r>
        <w:rPr>
          <w:rStyle w:val="Style14"/>
        </w:rPr>
        <w:footnoteRef/>
      </w:r>
      <w:hyperlink r:id="rId3">
        <w:r>
          <w:rPr/>
          <w:tab/>
          <w:t>https://github.com/zhouhaoyi/Informer2020</w:t>
        </w:r>
      </w:hyperlink>
      <w:r>
        <w:rPr/>
        <w:t xml:space="preserve"> — самый популярный по активности редакторов и наблюдателей репозиторий из этого обзора</w:t>
      </w:r>
    </w:p>
  </w:footnote>
  <w:footnote w:id="6">
    <w:p>
      <w:pPr>
        <w:pStyle w:val="Footnote"/>
        <w:rPr>
          <w:lang w:val="en-US"/>
        </w:rPr>
      </w:pPr>
      <w:r>
        <w:rPr>
          <w:rStyle w:val="Style14"/>
        </w:rPr>
        <w:footnoteRef/>
      </w:r>
      <w:r>
        <w:rPr>
          <w:lang w:val="en-US"/>
        </w:rPr>
        <w:tab/>
        <w:t>https://github.com/ashishpatel26/tcn-keras-Examples</w:t>
      </w:r>
    </w:p>
  </w:footnote>
  <w:footnote w:id="7">
    <w:p>
      <w:pPr>
        <w:pStyle w:val="Footnote"/>
        <w:rPr>
          <w:lang w:val="en-US"/>
        </w:rPr>
      </w:pPr>
      <w:r>
        <w:rPr>
          <w:rStyle w:val="Style14"/>
        </w:rPr>
        <w:footnoteRef/>
      </w:r>
      <w:r>
        <w:rPr>
          <w:lang w:val="en-US"/>
        </w:rPr>
        <w:tab/>
        <w:t>https://github.com/unit8co/darts</w:t>
      </w:r>
    </w:p>
  </w:footnote>
  <w:footnote w:id="8">
    <w:p>
      <w:pPr>
        <w:pStyle w:val="Footnote"/>
        <w:rPr>
          <w:lang w:val="en-US"/>
        </w:rPr>
      </w:pPr>
      <w:r>
        <w:rPr>
          <w:rStyle w:val="Style14"/>
        </w:rPr>
        <w:footnoteRef/>
      </w:r>
      <w:r>
        <w:rPr>
          <w:lang w:val="en-US"/>
        </w:rPr>
        <w:tab/>
        <w:t>https://github.com/ElementAI/N-BEATS</w:t>
      </w:r>
    </w:p>
  </w:footnote>
  <w:footnote w:id="9">
    <w:p>
      <w:pPr>
        <w:pStyle w:val="Footnote"/>
        <w:rPr>
          <w:lang w:val="en-US"/>
        </w:rPr>
      </w:pPr>
      <w:r>
        <w:rPr>
          <w:rStyle w:val="Style14"/>
        </w:rPr>
        <w:footnoteRef/>
      </w:r>
      <w:r>
        <w:rPr>
          <w:lang w:val="en-US"/>
        </w:rPr>
        <w:tab/>
        <w:t>https://github.com/google-research/google-research/tree/master/tft</w:t>
      </w:r>
    </w:p>
  </w:footnote>
  <w:footnote w:id="10">
    <w:p>
      <w:pPr>
        <w:pStyle w:val="Style26"/>
        <w:rPr/>
      </w:pPr>
      <w:r>
        <w:rPr>
          <w:rStyle w:val="Style14"/>
        </w:rPr>
        <w:footnoteRef/>
      </w:r>
      <w:r>
        <w:rPr/>
        <w:t xml:space="preserve"> </w:t>
      </w:r>
      <w:hyperlink r:id="rId4">
        <w:r>
          <w:rPr/>
          <w:t>https://www.comp-engine.org/</w:t>
        </w:r>
      </w:hyperlink>
      <w:hyperlink r:id="rId5">
        <w:r>
          <w:rPr/>
          <w:t xml:space="preserve"> </w:t>
        </w:r>
      </w:hyperlink>
    </w:p>
  </w:footnote>
</w:footnote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zoom w:percent="80"/>
  <w:defaultTabStop w:val="709"/>
  <w:autoHyphenation w:val="true"/>
  <w:footnotePr>
    <w:numFmt w:val="decimal"/>
    <w:footnote w:id="0"/>
    <w:footnote w:id="1"/>
  </w:footnotePr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kinsoku w:val="true"/>
      <w:overflowPunct w:val="true"/>
      <w:autoSpaceDE w:val="true"/>
      <w:bidi w:val="0"/>
      <w:spacing w:lineRule="auto" w:line="360" w:before="0" w:after="0"/>
      <w:jc w:val="left"/>
      <w:textAlignment w:val="baseline"/>
    </w:pPr>
    <w:rPr>
      <w:rFonts w:ascii="Times New Roman" w:hAnsi="Times New Roman" w:eastAsia="NSimSun" w:cs="Arial"/>
      <w:color w:val="auto"/>
      <w:kern w:val="2"/>
      <w:sz w:val="28"/>
      <w:szCs w:val="24"/>
      <w:lang w:val="ru-RU" w:eastAsia="zh-CN" w:bidi="hi-IN"/>
    </w:rPr>
  </w:style>
  <w:style w:type="paragraph" w:styleId="1">
    <w:name w:val="Heading 1"/>
    <w:basedOn w:val="Style19"/>
    <w:next w:val="Textbody"/>
    <w:qFormat/>
    <w:pPr>
      <w:numPr>
        <w:ilvl w:val="0"/>
        <w:numId w:val="0"/>
      </w:numPr>
      <w:spacing w:before="240" w:after="120"/>
      <w:outlineLvl w:val="0"/>
    </w:pPr>
    <w:rPr>
      <w:rFonts w:ascii="Times New Roman" w:hAnsi="Times New Roman" w:eastAsia="NSimSun"/>
      <w:b/>
      <w:bCs/>
      <w:sz w:val="48"/>
      <w:szCs w:val="48"/>
    </w:rPr>
  </w:style>
  <w:style w:type="paragraph" w:styleId="2">
    <w:name w:val="Heading 2"/>
    <w:basedOn w:val="Style19"/>
    <w:next w:val="Textbody"/>
    <w:qFormat/>
    <w:pPr>
      <w:numPr>
        <w:ilvl w:val="0"/>
        <w:numId w:val="0"/>
      </w:numPr>
      <w:spacing w:before="200" w:after="120"/>
      <w:outlineLvl w:val="1"/>
    </w:pPr>
    <w:rPr>
      <w:rFonts w:ascii="Times New Roman" w:hAnsi="Times New Roman" w:eastAsia="NSimSun"/>
      <w:b/>
      <w:bCs/>
      <w:sz w:val="36"/>
      <w:szCs w:val="36"/>
    </w:rPr>
  </w:style>
  <w:style w:type="paragraph" w:styleId="3">
    <w:name w:val="Heading 3"/>
    <w:basedOn w:val="Style19"/>
    <w:next w:val="Style20"/>
    <w:qFormat/>
    <w:pPr>
      <w:numPr>
        <w:ilvl w:val="2"/>
        <w:numId w:val="1"/>
      </w:numPr>
      <w:spacing w:before="140" w:after="120"/>
      <w:outlineLvl w:val="2"/>
    </w:pPr>
    <w:rPr>
      <w:rFonts w:ascii="Times New Roman" w:hAnsi="Times New Roman"/>
      <w:b/>
      <w:bCs/>
      <w:sz w:val="28"/>
      <w:szCs w:val="28"/>
    </w:rPr>
  </w:style>
  <w:style w:type="paragraph" w:styleId="6">
    <w:name w:val="Heading 6"/>
    <w:basedOn w:val="Normal"/>
    <w:next w:val="Normal"/>
    <w:qFormat/>
    <w:pPr>
      <w:keepNext w:val="true"/>
      <w:keepLines/>
      <w:numPr>
        <w:ilvl w:val="0"/>
        <w:numId w:val="0"/>
      </w:numPr>
      <w:spacing w:before="40" w:after="0"/>
      <w:outlineLvl w:val="5"/>
    </w:pPr>
    <w:rPr>
      <w:rFonts w:ascii="Calibri Light" w:hAnsi="Calibri Light" w:eastAsia="NSimSun" w:cs="Arial"/>
      <w:color w:val="1F4D78"/>
    </w:rPr>
  </w:style>
  <w:style w:type="character" w:styleId="DefaultParagraphFont">
    <w:name w:val="Default Paragraph Font"/>
    <w:qFormat/>
    <w:rPr/>
  </w:style>
  <w:style w:type="character" w:styleId="Style10">
    <w:name w:val="Символ нумерации"/>
    <w:qFormat/>
    <w:rPr/>
  </w:style>
  <w:style w:type="character" w:styleId="Style11">
    <w:name w:val="Маркеры"/>
    <w:qFormat/>
    <w:rPr>
      <w:rFonts w:ascii="OpenSymbol" w:hAnsi="OpenSymbol" w:eastAsia="OpenSymbol" w:cs="OpenSymbol"/>
    </w:rPr>
  </w:style>
  <w:style w:type="character" w:styleId="Style12">
    <w:name w:val="Интернет-ссылка"/>
    <w:rPr>
      <w:color w:val="000080"/>
      <w:u w:val="single"/>
      <w:lang w:val="zxx" w:eastAsia="zxx" w:bidi="zxx"/>
    </w:rPr>
  </w:style>
  <w:style w:type="character" w:styleId="Style13">
    <w:name w:val="Привязка сноски"/>
    <w:rPr>
      <w:vertAlign w:val="superscript"/>
    </w:rPr>
  </w:style>
  <w:style w:type="character" w:styleId="Style14">
    <w:name w:val="Символ сноски"/>
    <w:qFormat/>
    <w:rPr/>
  </w:style>
  <w:style w:type="character" w:styleId="FootnoteCharacters">
    <w:name w:val="Footnote Characters"/>
    <w:basedOn w:val="DefaultParagraphFont"/>
    <w:qFormat/>
    <w:rPr>
      <w:vertAlign w:val="superscript"/>
    </w:rPr>
  </w:style>
  <w:style w:type="character" w:styleId="Style15">
    <w:name w:val="Текст примечания Знак"/>
    <w:basedOn w:val="DefaultParagraphFont"/>
    <w:qFormat/>
    <w:rPr>
      <w:rFonts w:cs="Mangal"/>
      <w:sz w:val="20"/>
      <w:szCs w:val="18"/>
    </w:rPr>
  </w:style>
  <w:style w:type="character" w:styleId="Annotationreference">
    <w:name w:val="annotation reference"/>
    <w:basedOn w:val="DefaultParagraphFont"/>
    <w:qFormat/>
    <w:rPr>
      <w:sz w:val="16"/>
      <w:szCs w:val="16"/>
    </w:rPr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Style16">
    <w:name w:val="Ссылка указателя"/>
    <w:qFormat/>
    <w:rPr/>
  </w:style>
  <w:style w:type="character" w:styleId="Style17">
    <w:name w:val="Привязка концевой сноски"/>
    <w:rPr>
      <w:vertAlign w:val="superscript"/>
    </w:rPr>
  </w:style>
  <w:style w:type="character" w:styleId="Style18">
    <w:name w:val="Символ концевой сноски"/>
    <w:qFormat/>
    <w:rPr/>
  </w:style>
  <w:style w:type="paragraph" w:styleId="Style19">
    <w:name w:val="Заголовок"/>
    <w:basedOn w:val="Standard"/>
    <w:next w:val="Textbody"/>
    <w:qFormat/>
    <w:pPr>
      <w:keepNext w:val="true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Style20">
    <w:name w:val="Body Text"/>
    <w:basedOn w:val="Normal"/>
    <w:pPr>
      <w:spacing w:lineRule="auto" w:line="276" w:before="0" w:after="140"/>
    </w:pPr>
    <w:rPr/>
  </w:style>
  <w:style w:type="paragraph" w:styleId="Style21">
    <w:name w:val="List"/>
    <w:basedOn w:val="Textbody"/>
    <w:pPr/>
    <w:rPr/>
  </w:style>
  <w:style w:type="paragraph" w:styleId="Style22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3">
    <w:name w:val="Указатель"/>
    <w:basedOn w:val="Standard"/>
    <w:qFormat/>
    <w:pPr>
      <w:suppressLineNumbers/>
    </w:pPr>
    <w:rPr/>
  </w:style>
  <w:style w:type="paragraph" w:styleId="Standard">
    <w:name w:val="Standard"/>
    <w:qFormat/>
    <w:pPr>
      <w:widowControl w:val="false"/>
      <w:suppressAutoHyphens w:val="true"/>
      <w:kinsoku w:val="true"/>
      <w:overflowPunct w:val="true"/>
      <w:autoSpaceDE w:val="true"/>
      <w:bidi w:val="0"/>
      <w:spacing w:lineRule="auto" w:line="360" w:before="0" w:after="0"/>
      <w:jc w:val="left"/>
      <w:textAlignment w:val="baseline"/>
    </w:pPr>
    <w:rPr>
      <w:rFonts w:ascii="Times New Roman" w:hAnsi="Times New Roman" w:eastAsia="NSimSun" w:cs="Arial"/>
      <w:color w:val="auto"/>
      <w:kern w:val="2"/>
      <w:sz w:val="28"/>
      <w:szCs w:val="24"/>
      <w:lang w:val="ru-RU" w:eastAsia="zh-CN" w:bidi="hi-IN"/>
    </w:rPr>
  </w:style>
  <w:style w:type="paragraph" w:styleId="Textbody">
    <w:name w:val="Text body"/>
    <w:basedOn w:val="Standard"/>
    <w:qFormat/>
    <w:pPr>
      <w:spacing w:lineRule="auto" w:line="276" w:before="0" w:after="140"/>
    </w:pPr>
    <w:rPr/>
  </w:style>
  <w:style w:type="paragraph" w:styleId="Caption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styleId="Style24">
    <w:name w:val="Содержимое таблицы"/>
    <w:basedOn w:val="Standard"/>
    <w:qFormat/>
    <w:pPr>
      <w:suppressLineNumbers/>
    </w:pPr>
    <w:rPr/>
  </w:style>
  <w:style w:type="paragraph" w:styleId="Style25">
    <w:name w:val="Заголовок таблицы"/>
    <w:basedOn w:val="Style24"/>
    <w:qFormat/>
    <w:pPr>
      <w:jc w:val="center"/>
    </w:pPr>
    <w:rPr>
      <w:b/>
      <w:bCs/>
    </w:rPr>
  </w:style>
  <w:style w:type="paragraph" w:styleId="Footnote">
    <w:name w:val="Footnote"/>
    <w:basedOn w:val="Standard"/>
    <w:qFormat/>
    <w:pPr>
      <w:suppressLineNumbers/>
      <w:ind w:left="340" w:right="0" w:hanging="340"/>
    </w:pPr>
    <w:rPr>
      <w:sz w:val="24"/>
      <w:szCs w:val="20"/>
    </w:rPr>
  </w:style>
  <w:style w:type="paragraph" w:styleId="Annotationtext">
    <w:name w:val="annotation text"/>
    <w:basedOn w:val="Normal"/>
    <w:qFormat/>
    <w:pPr/>
    <w:rPr>
      <w:rFonts w:cs="Mangal"/>
      <w:sz w:val="20"/>
      <w:szCs w:val="18"/>
    </w:rPr>
  </w:style>
  <w:style w:type="paragraph" w:styleId="Style26">
    <w:name w:val="Footnote Text"/>
    <w:basedOn w:val="Normal"/>
    <w:pPr/>
    <w:rPr/>
  </w:style>
  <w:style w:type="paragraph" w:styleId="Style27">
    <w:name w:val="Index Heading"/>
    <w:basedOn w:val="Style19"/>
    <w:pPr>
      <w:suppressLineNumbers/>
      <w:ind w:left="0" w:right="0" w:hanging="0"/>
    </w:pPr>
    <w:rPr>
      <w:b/>
      <w:bCs/>
      <w:sz w:val="32"/>
      <w:szCs w:val="32"/>
    </w:rPr>
  </w:style>
  <w:style w:type="paragraph" w:styleId="TOAHeading">
    <w:name w:val="TOA Heading"/>
    <w:basedOn w:val="Style27"/>
    <w:qFormat/>
    <w:pPr>
      <w:suppressLineNumbers/>
      <w:ind w:left="0" w:right="0" w:hanging="0"/>
    </w:pPr>
    <w:rPr>
      <w:b/>
      <w:bCs/>
      <w:sz w:val="32"/>
      <w:szCs w:val="32"/>
    </w:rPr>
  </w:style>
  <w:style w:type="paragraph" w:styleId="61">
    <w:name w:val="TOC 6"/>
    <w:basedOn w:val="Style23"/>
    <w:pPr>
      <w:tabs>
        <w:tab w:val="clear" w:pos="709"/>
        <w:tab w:val="right" w:pos="8221" w:leader="dot"/>
      </w:tabs>
      <w:ind w:left="1417" w:right="0" w:hanging="0"/>
    </w:pPr>
    <w:rPr/>
  </w:style>
  <w:style w:type="paragraph" w:styleId="11">
    <w:name w:val="TOC 1"/>
    <w:basedOn w:val="Style23"/>
    <w:pPr>
      <w:tabs>
        <w:tab w:val="clear" w:pos="709"/>
        <w:tab w:val="right" w:pos="9638" w:leader="dot"/>
      </w:tabs>
      <w:ind w:left="0" w:right="0" w:hanging="0"/>
    </w:pPr>
    <w:rPr/>
  </w:style>
  <w:style w:type="paragraph" w:styleId="Style28">
    <w:name w:val="Endnote Text"/>
    <w:basedOn w:val="Normal"/>
    <w:pPr>
      <w:suppressLineNumbers/>
      <w:ind w:left="340" w:right="0" w:hanging="340"/>
    </w:pPr>
    <w:rPr>
      <w:sz w:val="20"/>
      <w:szCs w:val="20"/>
    </w:rPr>
  </w:style>
  <w:style w:type="paragraph" w:styleId="21">
    <w:name w:val="TOC 2"/>
    <w:basedOn w:val="Style23"/>
    <w:pPr>
      <w:tabs>
        <w:tab w:val="clear" w:pos="709"/>
        <w:tab w:val="right" w:pos="9355" w:leader="dot"/>
      </w:tabs>
      <w:ind w:left="283" w:right="0" w:hanging="0"/>
    </w:pPr>
    <w:rPr/>
  </w:style>
  <w:style w:type="paragraph" w:styleId="TableofFigures">
    <w:name w:val="Table of Figures"/>
    <w:basedOn w:val="Style22"/>
    <w:qFormat/>
    <w:pPr/>
    <w:rPr/>
  </w:style>
  <w:style w:type="paragraph" w:styleId="Style29">
    <w:name w:val="Колонтитул"/>
    <w:basedOn w:val="Normal"/>
    <w:qFormat/>
    <w:pPr>
      <w:suppressLineNumbers/>
      <w:tabs>
        <w:tab w:val="clear" w:pos="709"/>
        <w:tab w:val="center" w:pos="4677" w:leader="none"/>
        <w:tab w:val="right" w:pos="9355" w:leader="none"/>
      </w:tabs>
    </w:pPr>
    <w:rPr/>
  </w:style>
  <w:style w:type="paragraph" w:styleId="Style30">
    <w:name w:val="Footer"/>
    <w:basedOn w:val="Style29"/>
    <w:pPr>
      <w:suppressLineNumbers/>
    </w:pPr>
    <w:rPr/>
  </w:style>
  <w:style w:type="paragraph" w:styleId="Style31">
    <w:name w:val="Содержимое врезки"/>
    <w:basedOn w:val="Normal"/>
    <w:qFormat/>
    <w:pPr/>
    <w:rPr/>
  </w:style>
  <w:style w:type="paragraph" w:styleId="Style32">
    <w:name w:val="Table of Figures"/>
    <w:basedOn w:val="Style22"/>
    <w:pPr/>
    <w:rPr/>
  </w:style>
  <w:style w:type="paragraph" w:styleId="Style33">
    <w:name w:val="TOA Heading"/>
    <w:basedOn w:val="Style27"/>
    <w:pPr>
      <w:suppressLineNumbers/>
      <w:ind w:left="0" w:hanging="0"/>
    </w:pPr>
    <w:rPr>
      <w:b/>
      <w:bCs/>
      <w:sz w:val="32"/>
      <w:szCs w:val="32"/>
    </w:rPr>
  </w:style>
  <w:style w:type="paragraph" w:styleId="31">
    <w:name w:val="TOC 3"/>
    <w:basedOn w:val="Style23"/>
    <w:pPr>
      <w:tabs>
        <w:tab w:val="clear" w:pos="709"/>
        <w:tab w:val="right" w:pos="8788" w:leader="dot"/>
      </w:tabs>
      <w:ind w:left="567" w:hanging="0"/>
    </w:pPr>
    <w:rPr/>
  </w:style>
  <w:style w:type="paragraph" w:styleId="Style34">
    <w:name w:val="Table of Authorities"/>
    <w:basedOn w:val="Style27"/>
    <w:pPr>
      <w:suppressLineNumbers/>
      <w:ind w:left="0" w:hanging="0"/>
    </w:pPr>
    <w:rPr>
      <w:b/>
      <w:bCs/>
      <w:sz w:val="32"/>
      <w:szCs w:val="32"/>
    </w:rPr>
  </w:style>
  <w:style w:type="paragraph" w:styleId="12">
    <w:name w:val="Библиография 1"/>
    <w:basedOn w:val="Style23"/>
    <w:qFormat/>
    <w:pPr>
      <w:tabs>
        <w:tab w:val="clear" w:pos="709"/>
        <w:tab w:val="right" w:pos="9355" w:leader="dot"/>
      </w:tabs>
      <w:ind w:left="0" w:hanging="0"/>
    </w:pPr>
    <w:rPr/>
  </w:style>
  <w:style w:type="numbering" w:styleId="123">
    <w:name w:val="Нумерованный 123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paperswithcode.com/paper/time-series-is-a-special-sequence-forecasting" TargetMode="External"/><Relationship Id="rId3" Type="http://schemas.openxmlformats.org/officeDocument/2006/relationships/hyperlink" Target="https://paperswithcode.com/paper/time-series-is-a-special-sequence-forecasting" TargetMode="External"/><Relationship Id="rId4" Type="http://schemas.openxmlformats.org/officeDocument/2006/relationships/hyperlink" Target="https://paperswithcode.com/paper/time-series-is-a-special-sequence-forecasting" TargetMode="External"/><Relationship Id="rId5" Type="http://schemas.openxmlformats.org/officeDocument/2006/relationships/hyperlink" Target="https://paperswithcode.com/paper/time-series-is-a-special-sequence-forecasting" TargetMode="External"/><Relationship Id="rId6" Type="http://schemas.openxmlformats.org/officeDocument/2006/relationships/hyperlink" Target="https://paperswithcode.com/paper/time-series-is-a-special-sequence-forecasting" TargetMode="External"/><Relationship Id="rId7" Type="http://schemas.openxmlformats.org/officeDocument/2006/relationships/hyperlink" Target="https://paperswithcode.com/paper/long-term-series-forecasting-with-query" TargetMode="External"/><Relationship Id="rId8" Type="http://schemas.openxmlformats.org/officeDocument/2006/relationships/hyperlink" Target="https://paperswithcode.com/paper/long-term-series-forecasting-with-query" TargetMode="External"/><Relationship Id="rId9" Type="http://schemas.openxmlformats.org/officeDocument/2006/relationships/hyperlink" Target="https://paperswithcode.com/paper/informer-beyond-efficient-transformer-for" TargetMode="External"/><Relationship Id="rId10" Type="http://schemas.openxmlformats.org/officeDocument/2006/relationships/hyperlink" Target="https://paperswithcode.com/paper/informer-beyond-efficient-transformer-for" TargetMode="External"/><Relationship Id="rId11" Type="http://schemas.openxmlformats.org/officeDocument/2006/relationships/hyperlink" Target="https://paperswithcode.com/paper/long-term-series-forecasting-with-query" TargetMode="External"/><Relationship Id="rId12" Type="http://schemas.openxmlformats.org/officeDocument/2006/relationships/hyperlink" Target="https://paperswithcode.com/paper/long-term-series-forecasting-with-query" TargetMode="External"/><Relationship Id="rId13" Type="http://schemas.openxmlformats.org/officeDocument/2006/relationships/hyperlink" Target="https://paperswithcode.com/paper/time-series-is-a-special-sequence-forecasting" TargetMode="External"/><Relationship Id="rId14" Type="http://schemas.openxmlformats.org/officeDocument/2006/relationships/hyperlink" Target="https://paperswithcode.com/paper/time-series-is-a-special-sequence-forecasting" TargetMode="External"/><Relationship Id="rId15" Type="http://schemas.openxmlformats.org/officeDocument/2006/relationships/hyperlink" Target="https://paperswithcode.com/paper/time-series-is-a-special-sequence-forecasting" TargetMode="External"/><Relationship Id="rId16" Type="http://schemas.openxmlformats.org/officeDocument/2006/relationships/hyperlink" Target="https://paperswithcode.com/paper/time-series-is-a-special-sequence-forecasting" TargetMode="External"/><Relationship Id="rId17" Type="http://schemas.openxmlformats.org/officeDocument/2006/relationships/hyperlink" Target="https://paperswithcode.com/paper/time-series-is-a-special-sequence-forecasting" TargetMode="External"/><Relationship Id="rId18" Type="http://schemas.openxmlformats.org/officeDocument/2006/relationships/image" Target="media/image1.png"/><Relationship Id="rId19" Type="http://schemas.openxmlformats.org/officeDocument/2006/relationships/image" Target="media/image1.png"/><Relationship Id="rId20" Type="http://schemas.openxmlformats.org/officeDocument/2006/relationships/image" Target="media/image2.png"/><Relationship Id="rId21" Type="http://schemas.openxmlformats.org/officeDocument/2006/relationships/image" Target="media/image3.png"/><Relationship Id="rId22" Type="http://schemas.openxmlformats.org/officeDocument/2006/relationships/image" Target="media/image4.png"/><Relationship Id="rId23" Type="http://schemas.openxmlformats.org/officeDocument/2006/relationships/image" Target="media/image5.png"/><Relationship Id="rId24" Type="http://schemas.openxmlformats.org/officeDocument/2006/relationships/image" Target="media/image6.png"/><Relationship Id="rId25" Type="http://schemas.openxmlformats.org/officeDocument/2006/relationships/image" Target="media/image6.png"/><Relationship Id="rId26" Type="http://schemas.openxmlformats.org/officeDocument/2006/relationships/image" Target="media/image7.png"/><Relationship Id="rId27" Type="http://schemas.openxmlformats.org/officeDocument/2006/relationships/image" Target="media/image7.png"/><Relationship Id="rId28" Type="http://schemas.openxmlformats.org/officeDocument/2006/relationships/hyperlink" Target="https://github.com/ksetdekov/ts_transformers" TargetMode="External"/><Relationship Id="rId29" Type="http://schemas.openxmlformats.org/officeDocument/2006/relationships/image" Target="media/image8.png"/><Relationship Id="rId30" Type="http://schemas.openxmlformats.org/officeDocument/2006/relationships/image" Target="media/image9.png"/><Relationship Id="rId31" Type="http://schemas.openxmlformats.org/officeDocument/2006/relationships/image" Target="media/image10.png"/><Relationship Id="rId32" Type="http://schemas.openxmlformats.org/officeDocument/2006/relationships/image" Target="media/image10.png"/><Relationship Id="rId33" Type="http://schemas.openxmlformats.org/officeDocument/2006/relationships/image" Target="media/image11.png"/><Relationship Id="rId34" Type="http://schemas.openxmlformats.org/officeDocument/2006/relationships/image" Target="media/image11.png"/><Relationship Id="rId35" Type="http://schemas.openxmlformats.org/officeDocument/2006/relationships/image" Target="media/image12.png"/><Relationship Id="rId36" Type="http://schemas.openxmlformats.org/officeDocument/2006/relationships/image" Target="media/image13.png"/><Relationship Id="rId37" Type="http://schemas.openxmlformats.org/officeDocument/2006/relationships/footer" Target="footer1.xml"/><Relationship Id="rId38" Type="http://schemas.openxmlformats.org/officeDocument/2006/relationships/footer" Target="footer2.xml"/><Relationship Id="rId39" Type="http://schemas.openxmlformats.org/officeDocument/2006/relationships/footnotes" Target="footnotes.xml"/><Relationship Id="rId40" Type="http://schemas.openxmlformats.org/officeDocument/2006/relationships/numbering" Target="numbering.xml"/><Relationship Id="rId41" Type="http://schemas.openxmlformats.org/officeDocument/2006/relationships/fontTable" Target="fontTable.xml"/><Relationship Id="rId42" Type="http://schemas.openxmlformats.org/officeDocument/2006/relationships/settings" Target="settings.xml"/>
</Relationships>
</file>

<file path=word/_rels/footnotes.xml.rels><?xml version="1.0" encoding="UTF-8"?>
<Relationships xmlns="http://schemas.openxmlformats.org/package/2006/relationships"><Relationship Id="rId1" Type="http://schemas.openxmlformats.org/officeDocument/2006/relationships/hyperlink" Target="https://paperswithcode.com/sota/time-series-forecasting-on-etth2-720" TargetMode="External"/><Relationship Id="rId2" Type="http://schemas.openxmlformats.org/officeDocument/2006/relationships/hyperlink" Target="" TargetMode="External"/><Relationship Id="rId3" Type="http://schemas.openxmlformats.org/officeDocument/2006/relationships/hyperlink" Target="https://github.com/zhouhaoyi/Informer2020" TargetMode="External"/><Relationship Id="rId4" Type="http://schemas.openxmlformats.org/officeDocument/2006/relationships/hyperlink" Target="https://www.comp-engine.org/" TargetMode="External"/><Relationship Id="rId5" Type="http://schemas.openxmlformats.org/officeDocument/2006/relationships/hyperlink" Target="" TargetMode="Externa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Application>LibreOffice/7.2.1.2$Windows_X86_64 LibreOffice_project/87b77fad49947c1441b67c559c339af8f3517e22</Application>
  <AppVersion>15.0000</AppVersion>
  <Pages>21</Pages>
  <Words>2852</Words>
  <Characters>18924</Characters>
  <CharactersWithSpaces>21505</CharactersWithSpaces>
  <Paragraphs>282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2021-10-31T13:28:00Z</dcterms:created>
  <dc:creator/>
  <dc:description/>
  <dc:language>ru-RU</dc:language>
  <cp:lastModifiedBy/>
  <dcterms:modified xsi:type="dcterms:W3CDTF">2021-12-13T20:52:45Z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