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notes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«НАЦИОНАЛЬНЫЙ ИССЛЕДОВАТЕЛЬСКИЙ УНИВЕРСИТЕТ</w:t>
      </w:r>
    </w:p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«ВЫСШАЯ ШКОЛА ЭКОНОМИКИ»</w:t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_RefHeading___Toc720_1315981873"/>
      <w:bookmarkEnd w:id="0"/>
      <w:r>
        <w:rPr>
          <w:rFonts w:cs="Times New Roman" w:ascii="Times New Roman" w:hAnsi="Times New Roman"/>
          <w:color w:val="auto"/>
          <w:sz w:val="24"/>
          <w:szCs w:val="24"/>
        </w:rPr>
        <w:t>Центр непрерывного образования</w:t>
      </w:r>
    </w:p>
    <w:p>
      <w:pPr>
        <w:pStyle w:val="6"/>
        <w:spacing w:lineRule="auto" w:line="360" w:before="0" w:after="0"/>
        <w:ind w:hanging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_RefHeading___Toc722_1315981873"/>
      <w:bookmarkEnd w:id="1"/>
      <w:r>
        <w:rPr>
          <w:rFonts w:cs="Times New Roman" w:ascii="Times New Roman" w:hAnsi="Times New Roman"/>
          <w:color w:val="auto"/>
          <w:sz w:val="24"/>
          <w:szCs w:val="24"/>
        </w:rPr>
        <w:t>Факультета компьютерных наук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ИТОГОВЫЙ ПРОЕКТ</w:t>
      </w:r>
    </w:p>
    <w:p>
      <w:pPr>
        <w:pStyle w:val="Normal"/>
        <w:spacing w:before="120" w:after="120"/>
        <w:jc w:val="center"/>
        <w:rPr/>
      </w:pPr>
      <w:r>
        <w:rPr>
          <w:rFonts w:cs="Times New Roman" w:ascii="Arial" w:hAnsi="Arial"/>
          <w:b w:val="false"/>
          <w:i w:val="false"/>
          <w:caps w:val="false"/>
          <w:smallCaps w:val="false"/>
          <w:color w:val="000000"/>
          <w:spacing w:val="0"/>
          <w:sz w:val="20"/>
          <w:szCs w:val="24"/>
          <w:shd w:fill="FFFFFF" w:val="clear"/>
        </w:rPr>
        <w:t>Решение задачи регрессии для многокомпонентных временных рядов для детектирование режимов работы насосного оборудования.</w:t>
      </w:r>
      <w:r>
        <w:rPr>
          <w:rFonts w:cs="Times New Roman"/>
          <w:color w:val="000000"/>
          <w:sz w:val="24"/>
          <w:szCs w:val="24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8"/>
        <w:gridCol w:w="3626"/>
      </w:tblGrid>
      <w:tr>
        <w:trPr/>
        <w:tc>
          <w:tcPr>
            <w:tcW w:w="57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6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Выполнил: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Сетдеков Кирилл Раильевич</w:t>
            </w:r>
          </w:p>
        </w:tc>
      </w:tr>
      <w:tr>
        <w:trPr/>
        <w:tc>
          <w:tcPr>
            <w:tcW w:w="57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6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1561" w:hRule="atLeast"/>
        </w:trPr>
        <w:tc>
          <w:tcPr>
            <w:tcW w:w="57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6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Руководитель: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Абдуракипов Сергей Сергеевич</w:t>
            </w:r>
          </w:p>
        </w:tc>
      </w:tr>
    </w:tbl>
    <w:p>
      <w:pPr>
        <w:pStyle w:val="Normal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cs="Times New Roman"/>
          <w:strike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2021</w:t>
      </w:r>
    </w:p>
    <w:p>
      <w:pPr>
        <w:pStyle w:val="Normal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"1-3" \h</w:instrText>
          </w:r>
          <w:r>
            <w:rPr/>
            <w:fldChar w:fldCharType="separate"/>
          </w:r>
          <w:hyperlink w:anchor="__RefHeading___Toc3502_3228052382">
            <w:r>
              <w:rPr/>
              <w:t>Введение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04_3228052382">
            <w:r>
              <w:rPr/>
              <w:t>Обзор литературы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6_3228052382">
            <w:r>
              <w:rPr/>
              <w:t>Методы</w:t>
              <w:tab/>
              <w:t>7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8_3228052382">
            <w:r>
              <w:rPr/>
              <w:t>Эксперименты</w:t>
              <w:tab/>
              <w:t>8</w:t>
            </w:r>
          </w:hyperlink>
        </w:p>
        <w:p>
          <w:pPr>
            <w:pStyle w:val="21"/>
            <w:rPr/>
          </w:pPr>
          <w:hyperlink w:anchor="__RefHeading___Toc724_1315981873">
            <w:r>
              <w:rPr/>
              <w:t>Описание данных</w:t>
              <w:tab/>
              <w:t>8</w:t>
            </w:r>
          </w:hyperlink>
        </w:p>
        <w:p>
          <w:pPr>
            <w:pStyle w:val="21"/>
            <w:rPr/>
          </w:pPr>
          <w:hyperlink w:anchor="__RefHeading___Toc2373_2022857931">
            <w:r>
              <w:rPr/>
              <w:t>Предобработка данных</w:t>
              <w:tab/>
              <w:t>11</w:t>
            </w:r>
          </w:hyperlink>
        </w:p>
        <w:p>
          <w:pPr>
            <w:pStyle w:val="21"/>
            <w:rPr/>
          </w:pPr>
          <w:hyperlink w:anchor="__RefHeading___Toc2375_2022857931">
            <w:r>
              <w:rPr/>
              <w:t>Построение моделей</w:t>
              <w:tab/>
              <w:t>12</w:t>
            </w:r>
          </w:hyperlink>
        </w:p>
        <w:p>
          <w:pPr>
            <w:pStyle w:val="21"/>
            <w:rPr/>
          </w:pPr>
          <w:hyperlink w:anchor="__RefHeading___Toc2377_2022857931">
            <w:r>
              <w:rPr/>
              <w:t>Результаты построения моделей</w:t>
              <w:tab/>
              <w:t>13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0_3228052382"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2_3228052382">
            <w:r>
              <w:rPr/>
              <w:t>Приложения</w:t>
              <w:tab/>
              <w:t>17</w:t>
            </w:r>
          </w:hyperlink>
        </w:p>
        <w:p>
          <w:pPr>
            <w:pStyle w:val="21"/>
            <w:rPr/>
          </w:pPr>
          <w:hyperlink w:anchor="__RefHeading___Toc726_1315981873">
            <w:r>
              <w:rPr/>
              <w:t>Приложение 1. Гиперпараметры для моделей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79_2022857931">
            <w:r>
              <w:rPr/>
              <w:t>LAMA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1_2022857931">
            <w:r>
              <w:rPr/>
              <w:t>TCN</w:t>
              <w:tab/>
              <w:t>18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3_2022857931">
            <w:r>
              <w:rPr/>
              <w:t>N-Beats</w:t>
              <w:tab/>
              <w:t>18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5_2022857931">
            <w:r>
              <w:rPr/>
              <w:t>Transformer</w:t>
              <w:tab/>
              <w:t>19</w:t>
            </w:r>
          </w:hyperlink>
        </w:p>
        <w:p>
          <w:pPr>
            <w:pStyle w:val="21"/>
            <w:rPr/>
          </w:pPr>
          <w:hyperlink w:anchor="__RefHeading___Toc2387_2022857931">
            <w:r>
              <w:rPr/>
              <w:t>Приложение 2. p-value для теста на равенство средних значений соответствующего эмбеддинга из Catch22 в группах насосов, где метод работал выше и ниже медианы по SMAPE</w:t>
              <w:tab/>
              <w:t>20</w:t>
            </w:r>
          </w:hyperlink>
        </w:p>
        <w:p>
          <w:pPr>
            <w:pStyle w:val="21"/>
            <w:rPr/>
          </w:pPr>
          <w:hyperlink w:anchor="__RefHeading___Toc2199_2022857931">
            <w:r>
              <w:rPr/>
              <w:t>Приложение 3. график остатков модели в зависимости от истинного значения и Q-Q графики распределения остатков</w:t>
              <w:tab/>
              <w:t>20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5291_2022857931">
            <w:r>
              <w:rPr/>
              <w:t>Список литературы</w:t>
              <w:tab/>
              <w:t>21</w:t>
            </w:r>
          </w:hyperlink>
          <w:r>
            <w:rPr/>
            <w:fldChar w:fldCharType="end"/>
          </w:r>
        </w:p>
      </w:sdtContent>
    </w:sdt>
    <w:p>
      <w:pPr>
        <w:pStyle w:val="1"/>
        <w:numPr>
          <w:ilvl w:val="0"/>
          <w:numId w:val="0"/>
        </w:numPr>
        <w:spacing w:before="240" w:after="120"/>
        <w:ind w:left="0" w:hanging="0"/>
        <w:rPr>
          <w:rFonts w:ascii="Times New Roman" w:hAnsi="Times New Roman" w:eastAsia="NSimSun"/>
          <w:b/>
          <w:b/>
          <w:bCs/>
          <w:sz w:val="48"/>
          <w:szCs w:val="48"/>
        </w:rPr>
      </w:pPr>
      <w:r>
        <w:rPr>
          <w:rFonts w:eastAsia="NSimSun" w:ascii="Times New Roman" w:hAnsi="Times New Roman"/>
          <w:b/>
          <w:bCs/>
          <w:sz w:val="48"/>
          <w:szCs w:val="48"/>
        </w:rPr>
      </w:r>
      <w:r>
        <w:br w:type="page"/>
      </w:r>
    </w:p>
    <w:p>
      <w:pPr>
        <w:pStyle w:val="1"/>
        <w:ind w:hanging="0"/>
        <w:rPr/>
      </w:pPr>
      <w:bookmarkStart w:id="2" w:name="__RefHeading___Toc3502_3228052382"/>
      <w:bookmarkEnd w:id="2"/>
      <w:r>
        <w:rPr/>
        <w:t>Введение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настоящее время на фоне бума развития свёрточных нейронных сетей в задачах обработки изображения и трансформеров для задач обработки естественного языка и перевода, ожидаемо что исследователи проводят эксперименты по использованию этих подходов для временных рядов. В частности, для задач прогнозирования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многокомпонентных временных рядов сверточные сети, трансформеры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fldChar w:fldCharType="begin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instrText> CITATION  "1"</w:instrTex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separate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t>1</w: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end"/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 xml:space="preserve"> и подходы развивающие эти идеи дальше показали большой прогресс. Новые подходы вытеснили более традиционные для временных рядов модели с сезонностями или авторегрессионные модели из верних строчек бенчмарков в последние 3 года. В этой работе я рассмотрю несколько из видов самых современных подходов (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en-US" w:eastAsia="zh-CN" w:bidi="hi-IN"/>
        </w:rPr>
        <w:t xml:space="preserve">SOTA)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и проанализирую их применимость к задаче прогнозирования параметров работы центрабежных погружных насосов, используемых в нефтедобыче.</w:t>
      </w:r>
    </w:p>
    <w:p>
      <w:pPr>
        <w:pStyle w:val="1"/>
        <w:ind w:hanging="0"/>
        <w:rPr/>
      </w:pPr>
      <w:bookmarkStart w:id="3" w:name="__RefHeading___Toc3504_3228052382"/>
      <w:bookmarkEnd w:id="3"/>
      <w:r>
        <w:rPr/>
        <w:t>Обзор литературы</w:t>
      </w:r>
    </w:p>
    <w:p>
      <w:pPr>
        <w:pStyle w:val="Normal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поиска наиболее современных подходов я использовал результаты сравнения моделей на сайте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papers with code</w:t>
      </w:r>
      <w:r>
        <w:rPr>
          <w:rStyle w:val="Style13"/>
          <w:rFonts w:eastAsia="NSimSun" w:cs="Arial"/>
          <w:color w:val="auto"/>
          <w:kern w:val="2"/>
          <w:sz w:val="28"/>
          <w:szCs w:val="24"/>
          <w:lang w:val="en-US" w:eastAsia="zh-CN" w:bidi="hi-IN"/>
        </w:rPr>
        <w:footnoteReference w:id="2"/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 бенчмарку </w:t>
      </w:r>
      <w:r>
        <w:rPr>
          <w:rFonts w:eastAsia="NSimSun" w:cs="Arial"/>
          <w:color w:val="000000"/>
          <w:kern w:val="2"/>
          <w:sz w:val="28"/>
          <w:szCs w:val="24"/>
          <w:lang w:val="ru-RU" w:eastAsia="zh-CN" w:bidi="hi-IN"/>
        </w:rPr>
        <w:t>ETTh2 (720). Содержательно это часовые данные за 2 года, где измеряют качество прогноза на 30 дней, для данных по температуре трансформатора от 7 зависимых переменных. Этот бенчмарк наиболее сопоставим с теми данными, которые я использовал далее для анализа в части размерности и является наиболее сложным вариантом бенчмарка.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На основе сравнения методов по </w:t>
      </w:r>
      <w:r>
        <w:rPr>
          <w:lang w:val="en-US"/>
        </w:rPr>
        <w:t>MAE</w:t>
      </w:r>
      <w:r>
        <w:rPr/>
        <w:t xml:space="preserve"> на наборе данных </w:t>
      </w:r>
      <w:r>
        <w:rPr>
          <w:color w:val="000000"/>
        </w:rPr>
        <w:t>ETTh2 (720), можно выделить 4 продвинутых подходов к прогнозированию временных рядом. Перечисляю их в порядке снижения качества прогнозирования:</w:t>
      </w:r>
    </w:p>
    <w:p>
      <w:pPr>
        <w:pStyle w:val="Standard"/>
        <w:rPr/>
      </w:pPr>
      <w:r>
        <w:rPr/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225" w:type="dxa"/>
          <w:right w:w="0" w:type="dxa"/>
        </w:tblCellMar>
      </w:tblPr>
      <w:tblGrid>
        <w:gridCol w:w="449"/>
        <w:gridCol w:w="1596"/>
        <w:gridCol w:w="844"/>
        <w:gridCol w:w="1186"/>
        <w:gridCol w:w="4203"/>
        <w:gridCol w:w="1076"/>
      </w:tblGrid>
      <w:tr>
        <w:trPr>
          <w:tblHeader w:val="true"/>
        </w:trPr>
        <w:tc>
          <w:tcPr>
            <w:tcW w:w="449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Ранг</w:t>
            </w:r>
          </w:p>
        </w:tc>
        <w:tc>
          <w:tcPr>
            <w:tcW w:w="159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Модель</w:t>
            </w:r>
          </w:p>
        </w:tc>
        <w:tc>
          <w:tcPr>
            <w:tcW w:w="844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MAE</w:t>
            </w:r>
          </w:p>
        </w:tc>
        <w:tc>
          <w:tcPr>
            <w:tcW w:w="118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b w:val="false"/>
                <w:b w:val="false"/>
                <w:color w:val="6F787D"/>
                <w:spacing w:val="15"/>
                <w:sz w:val="18"/>
              </w:rPr>
            </w:pPr>
            <w:r>
              <w:rPr>
                <w:b w:val="false"/>
                <w:color w:val="6F787D"/>
                <w:spacing w:val="15"/>
                <w:sz w:val="18"/>
              </w:rPr>
              <w:t>MSE</w:t>
            </w:r>
          </w:p>
        </w:tc>
        <w:tc>
          <w:tcPr>
            <w:tcW w:w="4203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Статья</w:t>
            </w:r>
          </w:p>
        </w:tc>
        <w:tc>
          <w:tcPr>
            <w:tcW w:w="107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Год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2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3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4">
              <w:r>
                <w:rPr>
                  <w:color w:val="000000"/>
                  <w:sz w:val="24"/>
                  <w:szCs w:val="24"/>
                </w:rPr>
                <w:t>Одномерная</w:t>
              </w:r>
            </w:hyperlink>
            <w:hyperlink r:id="rId5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0.399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6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7">
              <w:r>
                <w:rPr>
                  <w:b/>
                  <w:color w:val="000000"/>
                  <w:sz w:val="24"/>
                  <w:szCs w:val="24"/>
                </w:rPr>
                <w:t>QuerySelector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0.4130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0.2585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8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- efficient model of sparse attention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9">
              <w:r>
                <w:rPr>
                  <w:b/>
                  <w:color w:val="000000"/>
                  <w:sz w:val="24"/>
                  <w:szCs w:val="24"/>
                </w:rPr>
                <w:t>Informer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0.277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0">
              <w:r>
                <w:rPr>
                  <w:color w:val="0096B1"/>
                  <w:sz w:val="24"/>
                  <w:szCs w:val="24"/>
                  <w:lang w:val="en-US"/>
                </w:rPr>
                <w:t>Informer: Beyond Efficient Transformer for Long Sequence Time-Series Forecasting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1">
              <w:r>
                <w:rPr>
                  <w:b/>
                  <w:color w:val="000000"/>
                  <w:sz w:val="24"/>
                  <w:szCs w:val="24"/>
                </w:rPr>
                <w:t>Transformer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0.4340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0.2853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2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- efficient model of sparse attention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49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9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13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14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15">
              <w:r>
                <w:rPr>
                  <w:color w:val="000000"/>
                  <w:sz w:val="24"/>
                  <w:szCs w:val="24"/>
                </w:rPr>
                <w:t>Многомерная</w:t>
              </w:r>
            </w:hyperlink>
            <w:hyperlink r:id="rId16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0.761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1.074</w:t>
            </w:r>
          </w:p>
        </w:tc>
        <w:tc>
          <w:tcPr>
            <w:tcW w:w="4203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7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</w:tbl>
    <w:p>
      <w:pPr>
        <w:pStyle w:val="Textbody"/>
        <w:rPr/>
      </w:pPr>
      <w:r>
        <w:rPr/>
        <w:br/>
        <w:t>1 и 5 место, отличаются тем, используется ли многомерная реализация или одномерная реализация модели. Подробнее остановимся на 4 подходах и трех статьях, где они описываются:</w:t>
      </w:r>
    </w:p>
    <w:p>
      <w:pPr>
        <w:pStyle w:val="Standard"/>
        <w:numPr>
          <w:ilvl w:val="0"/>
          <w:numId w:val="3"/>
        </w:numPr>
        <w:rPr/>
      </w:pPr>
      <w:r>
        <w:rPr/>
        <w:t>Time Series is a Special Sequence: Forecasting with Sample Convolution and Interaction</w:t>
      </w:r>
      <w:r>
        <w:rPr/>
        <w:fldChar w:fldCharType="begin"/>
      </w:r>
      <w:r>
        <w:rPr/>
        <w:instrText> CITATION  "2"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(использование свёрточных нейронных сетей и сравнение их с трансформерами) Данная статья проводит дальнейшее развитие актуальных архитектур для временных рядом (рекуррентные нейронные сети, модель транформеров, сверточные нейронные сети для временных рядов). Основная идея — модифицированный подход сверточной нейронной сети, где не только расширяется зона внимания от слоя к слою, но и проводится последовательность сжатие-свертка-смешивание. Это позволяет одновременно смотреть на параметры временного ряда разного масштаба, что помогает лучше извлекать признаки из временного ряда и приводит к росту предсказательной способности в модели SCINet, предложенной авторами, в сравнении с прошлыми архитектурами. </w:t>
        <w:br/>
        <w:t>На данный момент один из передовых по точности алгоритм, имеющий как многомерный так и одномерный вариант.</w:t>
        <w:br/>
        <w:t>Есть официальный репозиторий</w:t>
      </w:r>
      <w:r>
        <w:rPr>
          <w:rStyle w:val="Style13"/>
        </w:rPr>
        <w:footnoteReference w:id="3"/>
      </w:r>
      <w:r>
        <w:rPr/>
        <w:t xml:space="preserve"> с кодом и реализацией на </w:t>
      </w:r>
      <w:r>
        <w:rPr>
          <w:lang w:val="en-US"/>
        </w:rPr>
        <w:t>PyTorch.</w:t>
      </w:r>
    </w:p>
    <w:p>
      <w:pPr>
        <w:pStyle w:val="Standard"/>
        <w:numPr>
          <w:ilvl w:val="0"/>
          <w:numId w:val="3"/>
        </w:numPr>
        <w:rPr/>
      </w:pPr>
      <w:r>
        <w:rPr/>
        <w:t>Long-term series forecasting with Query Selector -- efficient model of sparse attention</w:t>
      </w:r>
      <w:r>
        <w:rPr/>
        <w:fldChar w:fldCharType="begin"/>
      </w:r>
      <w:r>
        <w:rPr/>
        <w:instrText> CITATION  "3"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(Использование трансформеров и </w:t>
      </w:r>
      <w:r>
        <w:rPr>
          <w:lang w:val="en-US"/>
        </w:rPr>
        <w:t>query</w:t>
      </w:r>
      <w:r>
        <w:rPr/>
        <w:t xml:space="preserve"> </w:t>
      </w:r>
      <w:r>
        <w:rPr>
          <w:lang w:val="en-US"/>
        </w:rPr>
        <w:t>selector</w:t>
      </w:r>
      <w:r>
        <w:rPr/>
        <w:t xml:space="preserve"> модели)</w:t>
        <w:br/>
        <w:t>В этой статье предлагается развития идеи трансформеров за счет построения детерминистического алгоритма построения разреженной матрицы внимания.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4"/>
      </w:r>
      <w:r>
        <w:rPr>
          <w:lang w:val="en-US"/>
        </w:rPr>
        <w:t>.</w:t>
      </w:r>
    </w:p>
    <w:p>
      <w:pPr>
        <w:pStyle w:val="Standard"/>
        <w:numPr>
          <w:ilvl w:val="0"/>
          <w:numId w:val="3"/>
        </w:numPr>
        <w:rPr/>
      </w:pPr>
      <w:r>
        <w:rPr>
          <w:lang w:val="en-US"/>
        </w:rPr>
        <w:t>Informer</w:t>
      </w:r>
      <w:r>
        <w:rPr/>
        <w:t xml:space="preserve">: </w:t>
      </w:r>
      <w:r>
        <w:rPr>
          <w:lang w:val="en-US"/>
        </w:rPr>
        <w:t>Beyond</w:t>
      </w:r>
      <w:r>
        <w:rPr/>
        <w:t xml:space="preserve"> </w:t>
      </w:r>
      <w:r>
        <w:rPr>
          <w:lang w:val="en-US"/>
        </w:rPr>
        <w:t>Efficient</w:t>
      </w:r>
      <w:r>
        <w:rPr/>
        <w:t xml:space="preserve"> </w:t>
      </w:r>
      <w:r>
        <w:rPr>
          <w:lang w:val="en-US"/>
        </w:rPr>
        <w:t>Transformer</w:t>
      </w:r>
      <w:r>
        <w:rPr/>
        <w:t xml:space="preserve"> </w:t>
      </w:r>
      <w:r>
        <w:rPr>
          <w:lang w:val="en-US"/>
        </w:rPr>
        <w:t>for</w:t>
      </w:r>
      <w:r>
        <w:rPr/>
        <w:t xml:space="preserve">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Sequence</w:t>
      </w:r>
      <w:r>
        <w:rPr/>
        <w:t xml:space="preserve"> </w:t>
      </w:r>
      <w:r>
        <w:rPr>
          <w:lang w:val="en-US"/>
        </w:rPr>
        <w:t>Time</w:t>
      </w:r>
      <w:r>
        <w:rPr/>
        <w:t>-</w:t>
      </w:r>
      <w:r>
        <w:rPr>
          <w:lang w:val="en-US"/>
        </w:rPr>
        <w:t>Series</w:t>
      </w:r>
      <w:r>
        <w:rPr/>
        <w:t xml:space="preserve"> </w:t>
      </w:r>
      <w:r>
        <w:rPr>
          <w:lang w:val="en-US"/>
        </w:rPr>
        <w:t>Forecasting</w:t>
      </w:r>
      <w:r>
        <w:rPr>
          <w:lang w:val="en-US"/>
        </w:rPr>
        <w:fldChar w:fldCharType="begin"/>
      </w:r>
      <w:r>
        <w:rPr>
          <w:lang w:val="en-US"/>
        </w:rPr>
        <w:instrText> CITATION  "4"</w:instrText>
      </w:r>
      <w:r>
        <w:rPr>
          <w:lang w:val="en-US"/>
        </w:rPr>
        <w:fldChar w:fldCharType="separate"/>
      </w:r>
      <w:r>
        <w:rPr>
          <w:lang w:val="en-US"/>
        </w:rPr>
        <w:t>4</w:t>
      </w:r>
      <w:r>
        <w:rPr>
          <w:lang w:val="en-US"/>
        </w:rPr>
        <w:fldChar w:fldCharType="end"/>
      </w:r>
      <w:r>
        <w:rPr/>
        <w:t xml:space="preserve"> (использование информеров)</w:t>
        <w:br/>
        <w:t>Данная статья разбирает проблемы прогнозирования длительных временных рядов (</w:t>
      </w:r>
      <w:r>
        <w:rPr>
          <w:lang w:val="en-US"/>
        </w:rPr>
        <w:t>LSTF</w:t>
      </w:r>
      <w:r>
        <w:rPr/>
        <w:t xml:space="preserve">) и отмечает проблемы использования архитектуры трансформеров для этих целей —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</m:oMath>
      <w:r>
        <w:rPr/>
        <w:t xml:space="preserve"> по времени и большие требования по памяти и ограничения, присущие всем архитектурам энкодер-декодер. В качестве альтернативы, авторы предлагают более экономичную архитектуру модели для прогнозирования длительных временных рядов «Информеры», которые обладают тремя основными характеристиками 1) механизм внимания, который имеет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log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/>
        <w:t>по памяти и времени; 2) механизм внимания, который выделяет ключевые признаки, одновременно с делением пополам размера входов на каскадных слоях, что позволяет эффективно работать с чрезвычайно длинными временными рядами; 3) декодер генеративного типа, который строит прогноз за один шаг, а не итеративно, чем значительно ускоряет построение прогнозов.</w:t>
        <w:br/>
        <w:t xml:space="preserve">В данной статье проводится сравнения с другими методами и показано превосходство предложенного подхода в разрезе прогнозирования длительных временных рядов </w:t>
      </w:r>
      <w:r>
        <w:rPr>
          <w:lang w:val="ru-RU"/>
        </w:rPr>
        <w:t>над оригинальным вариантом использованием трансформеров</w:t>
      </w:r>
      <w:r>
        <w:rPr/>
        <w:t>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5"/>
      </w:r>
      <w:r>
        <w:rPr>
          <w:lang w:val="en-US"/>
        </w:rPr>
        <w:t>.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/>
        <w:t xml:space="preserve">Эти статьи про методы, которые не входят в state-of-the-art, но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достойны упоминания</w:t>
      </w:r>
      <w:r>
        <w:rPr/>
        <w:t>:</w:t>
      </w:r>
    </w:p>
    <w:p>
      <w:pPr>
        <w:pStyle w:val="Standard"/>
        <w:numPr>
          <w:ilvl w:val="0"/>
          <w:numId w:val="4"/>
        </w:numPr>
        <w:rPr/>
      </w:pPr>
      <w:r>
        <w:rPr/>
        <w:t>Probabilistic Forecasting with Temporal Convolutional Neural Network</w:t>
      </w:r>
      <w:r>
        <w:rPr/>
        <w:fldChar w:fldCharType="begin"/>
      </w:r>
      <w:r>
        <w:rPr/>
        <w:instrText> CITATION  "5"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br/>
        <w:t>В статье описывается подход к созданию прогнозов для мультивариативных временных рядом на основе свёрточных нейронных сетей с использованием обучения признакам.</w:t>
        <w:br/>
        <w:t xml:space="preserve">Есть официальная реализация в коде от авторов работы на </w:t>
      </w:r>
      <w:r>
        <w:rPr>
          <w:lang w:val="en-US"/>
        </w:rPr>
        <w:t>keras</w:t>
      </w:r>
      <w:r>
        <w:rPr>
          <w:rStyle w:val="Style13"/>
          <w:lang w:val="en-US"/>
        </w:rPr>
        <w:footnoteReference w:id="6"/>
      </w:r>
      <w:r>
        <w:rPr/>
        <w:t xml:space="preserve">, что важнее — реализован внутри пакета </w:t>
      </w:r>
      <w:r>
        <w:rPr>
          <w:lang w:val="en-US"/>
        </w:rPr>
        <w:t>Darts</w:t>
      </w:r>
      <w:r>
        <w:rPr/>
        <w:t xml:space="preserve"> – современный и быстроразвивающийся пакет для работы с временными рядами</w:t>
      </w:r>
      <w:r>
        <w:rPr>
          <w:rStyle w:val="Style13"/>
        </w:rPr>
        <w:footnoteReference w:id="7"/>
      </w:r>
    </w:p>
    <w:p>
      <w:pPr>
        <w:pStyle w:val="Standard"/>
        <w:numPr>
          <w:ilvl w:val="0"/>
          <w:numId w:val="4"/>
        </w:numPr>
        <w:rPr/>
      </w:pPr>
      <w:r>
        <w:rPr/>
        <w:t>N-BEATS: Neural basis expansion analysis for interpretable time series forecasting</w:t>
      </w:r>
      <w:r>
        <w:rPr/>
        <w:fldChar w:fldCharType="begin"/>
      </w:r>
      <w:r>
        <w:rPr/>
        <w:instrText> CITATION  "6"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</w:t>
        <w:br/>
        <w:t>Основной фокус на одномерных временных рядах — минус при анализе мультивариантных временных рядов. Предложен и реализован подход на основе глубокой нейронной сети со связями вперед и назад между слоями и набором множества полносвязных слоев внутри архитектуры сети.</w:t>
        <w:br/>
        <w:t>Есть реализация от компании, связанной с автором статьи</w:t>
      </w:r>
      <w:r>
        <w:rPr>
          <w:rStyle w:val="Style13"/>
        </w:rPr>
        <w:footnoteReference w:id="8"/>
      </w:r>
      <w:r>
        <w:rPr/>
        <w:t xml:space="preserve"> </w:t>
        <w:br/>
        <w:t xml:space="preserve">Также реализован внутри пакета </w:t>
      </w:r>
      <w:r>
        <w:rPr>
          <w:lang w:val="en-US"/>
        </w:rPr>
        <w:t>Darts</w:t>
      </w:r>
      <w:r>
        <w:rPr/>
        <w:t xml:space="preserve">  </w:t>
      </w:r>
    </w:p>
    <w:p>
      <w:pPr>
        <w:pStyle w:val="Standard"/>
        <w:numPr>
          <w:ilvl w:val="0"/>
          <w:numId w:val="4"/>
        </w:numPr>
        <w:rPr/>
      </w:pPr>
      <w:r>
        <w:rPr>
          <w:lang w:val="en-US"/>
        </w:rPr>
        <w:t>Temporal Fusion Transformers for Interpretable Multi-horizon Time Series Forecasting</w:t>
      </w:r>
      <w:r>
        <w:rPr>
          <w:lang w:val="en-US"/>
        </w:rPr>
        <w:fldChar w:fldCharType="begin"/>
      </w:r>
      <w:r>
        <w:rPr>
          <w:lang w:val="en-US"/>
        </w:rPr>
        <w:instrText> CITATION  "7"</w:instrText>
      </w:r>
      <w:r>
        <w:rPr>
          <w:lang w:val="en-US"/>
        </w:rPr>
        <w:fldChar w:fldCharType="separate"/>
      </w:r>
      <w:r>
        <w:rPr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>.</w:t>
        <w:br/>
      </w:r>
      <w:r>
        <w:rPr/>
        <w:t xml:space="preserve">На этой работе в первую очередь базируется работа </w:t>
      </w:r>
      <w:r>
        <w:rPr>
          <w:lang w:val="en-US"/>
        </w:rPr>
        <w:t>Liu</w:t>
      </w:r>
      <w:r>
        <w:rPr/>
        <w:t xml:space="preserve"> 2021 года (модель SCINet)</w:t>
        <w:br/>
        <w:t xml:space="preserve">Основная идея — использование трансформеров и обучение поведению временного ряда на разных масштабах  плюс выделение отдельной части модели под интерпретируемое представление внимания обученной сети, что позволяет и достигнуть лучших результатов в нескольких бенчмарках и отойти от реализации — черный ящик. </w:t>
        <w:br/>
        <w:t xml:space="preserve">Есть реализация на </w:t>
      </w:r>
      <w:r>
        <w:rPr>
          <w:lang w:val="en-US"/>
        </w:rPr>
        <w:t>tensorflow</w:t>
      </w:r>
      <w:r>
        <w:rPr>
          <w:rStyle w:val="Style13"/>
          <w:lang w:val="en-US"/>
        </w:rPr>
        <w:footnoteReference w:id="9"/>
      </w:r>
      <w:r>
        <w:rPr/>
        <w:t xml:space="preserve">, статья от исследователей в </w:t>
      </w:r>
      <w:r>
        <w:rPr>
          <w:lang w:val="en-US"/>
        </w:rPr>
        <w:t>google</w:t>
      </w:r>
      <w:r>
        <w:rPr/>
        <w:t xml:space="preserve"> </w:t>
      </w:r>
      <w:r>
        <w:rPr>
          <w:lang w:val="en-US"/>
        </w:rPr>
        <w:t>research</w:t>
      </w:r>
      <w:r>
        <w:rPr/>
        <w:t>.</w:t>
      </w:r>
    </w:p>
    <w:p>
      <w:pPr>
        <w:pStyle w:val="Standard"/>
        <w:rPr/>
      </w:pPr>
      <w:r>
        <w:rPr/>
      </w:r>
    </w:p>
    <w:p>
      <w:pPr>
        <w:pStyle w:val="1"/>
        <w:ind w:hanging="0"/>
        <w:rPr/>
      </w:pPr>
      <w:bookmarkStart w:id="4" w:name="__RefHeading___Toc3516_3228052382"/>
      <w:bookmarkEnd w:id="4"/>
      <w:r>
        <w:rPr/>
        <w:t>Методы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рамках этой работы я планирую обучить 4 модели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Плюс, как базовую — один из вариантов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AutoML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библиотек —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LAMA,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которая выбирает и обучает ансамбль бустингов на решающих деревьях с подбором гиперпараметров.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части основных моделей, планируется использовать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обучения моделей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TCN, N-Beats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и трансформеров, и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Pytorch forecasting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Time Fusion Transformer.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пакете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реализован загрузчик данных и обучающий цикл, основная сложность будет состоять в предобработке данных и формировании выборок в виде классов 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/>
          <w:i w:val="false"/>
          <w:caps w:val="false"/>
          <w:smallCaps w:val="false"/>
          <w:color w:val="333333"/>
          <w:spacing w:val="0"/>
          <w:kern w:val="2"/>
          <w:sz w:val="23"/>
          <w:szCs w:val="24"/>
          <w:shd w:fill="FFFFFF" w:val="clear"/>
          <w:lang w:val="ru-RU" w:eastAsia="zh-CN" w:bidi="hi-IN"/>
        </w:rPr>
        <w:t>darts.timeseries.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TimeSeries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необходимо будет настроить загрузчик данных из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pandas.</w:t>
      </w:r>
    </w:p>
    <w:p>
      <w:pPr>
        <w:pStyle w:val="Standard"/>
        <w:rPr/>
      </w:pPr>
      <w:r>
        <w:rPr/>
      </w:r>
    </w:p>
    <w:p>
      <w:pPr>
        <w:pStyle w:val="1"/>
        <w:ind w:hanging="0"/>
        <w:rPr/>
      </w:pPr>
      <w:bookmarkStart w:id="5" w:name="__RefHeading___Toc3518_3228052382"/>
      <w:bookmarkEnd w:id="5"/>
      <w:r>
        <w:rPr/>
        <w:t>Эксперименты</w:t>
      </w:r>
    </w:p>
    <w:p>
      <w:pPr>
        <w:pStyle w:val="2"/>
        <w:ind w:hanging="0"/>
        <w:rPr/>
      </w:pPr>
      <w:bookmarkStart w:id="6" w:name="__RefHeading___Toc724_1315981873"/>
      <w:bookmarkEnd w:id="6"/>
      <w:r>
        <w:rPr/>
        <w:t>Описание данных</w:t>
      </w:r>
    </w:p>
    <w:p>
      <w:pPr>
        <w:pStyle w:val="Normal"/>
        <w:rPr/>
      </w:pP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Для этой работы использованы данные, являющиеся сокращенным набором во времени и числу переменных набором данных, которые компания «Сургетнефтегаз» предоставляла в рамках открытого соревнования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data science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fldChar w:fldCharType="begin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instrText> CITATION  "8"</w:instrTex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separate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t>8</w: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end"/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. В работе использован набор данных по эксплуатации погружного оборудования фонда нефтяных скважин (17 скважин). Характеристики данных: 150 тысяч записей за два календарных месяца (июнь — июль 2019 года), выравненные по временной оси данные телеметрии с частотой дескретизации 5 минут. Для построения моделей использовали 15 независимых переменных, большая часть которых — телеметрия работы насосов (нагрузка двигателя, коэффициент мощности, давление в коллекторе узла учета, наработка насоса, расход жидкости и газа и т.д.), а также идентификатор номера насоса и колонка времени изменений. Пример динамики целевой переменной, «средняя скорость изменения давления на приеме насоса в ЧАС, МПа/час.» показан на рисунке ниже.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-8890</wp:posOffset>
                </wp:positionH>
                <wp:positionV relativeFrom="paragraph">
                  <wp:posOffset>43815</wp:posOffset>
                </wp:positionV>
                <wp:extent cx="3094355" cy="2872740"/>
                <wp:effectExtent l="0" t="0" r="0" b="0"/>
                <wp:wrapTopAndBottom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840" cy="287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92450" cy="2192655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2450" cy="219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Нормированная к интервалу [0;1] динамика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-0.7pt;margin-top:3.45pt;width:243.55pt;height:226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3092450" cy="2192655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2450" cy="219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к интервалу [0;1] динамика целевой переменной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Динамика признаков</w:t>
      </w:r>
      <w:r>
        <w:rPr>
          <w:lang w:val="ru-RU"/>
        </w:rPr>
        <w:t xml:space="preserve"> визуально выглядела хаотичной и не связанной с целевой переменной, за исключением признаков «T1138P6000096 Наработка двигателя с момента последнего включения, сек» и «T1138P4000064': "Загрузка двигателя, %», для остальных переменных направление влияние и степень их взаимосвязей первого порядка была заранее не очевидна. В качестве дополнительного анализа я использовал вывод </w:t>
      </w:r>
      <w:r>
        <w:rPr>
          <w:lang w:val="en-US"/>
        </w:rPr>
        <w:t xml:space="preserve">feature importance </w:t>
      </w:r>
      <w:r>
        <w:rPr>
          <w:lang w:val="ru-RU"/>
        </w:rPr>
        <w:t xml:space="preserve">для </w:t>
      </w:r>
      <w:r>
        <w:rPr>
          <w:lang w:val="en-US"/>
        </w:rPr>
        <w:t xml:space="preserve">auto ml </w:t>
      </w:r>
      <w:r>
        <w:rPr>
          <w:lang w:val="ru-RU"/>
        </w:rPr>
        <w:t>модели.</w:t>
      </w:r>
    </w:p>
    <w:p>
      <w:pPr>
        <w:pStyle w:val="Standard"/>
        <w:rPr>
          <w:lang w:val="ru-RU"/>
        </w:rPr>
      </w:pPr>
      <w:r>
        <w:rPr>
          <w:lang w:val="ru-RU"/>
        </w:rPr>
        <w:t>Ниже пример значений переменных: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23"/>
        <w:gridCol w:w="4526"/>
      </w:tblGrid>
      <w:tr>
        <w:trPr/>
        <w:tc>
          <w:tcPr>
            <w:tcW w:w="4823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41625" cy="2026920"/>
                  <wp:effectExtent l="0" t="0" r="0" b="0"/>
                  <wp:docPr id="5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62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2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Время с момента включения насоса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720340" cy="2045970"/>
                  <wp:effectExtent l="0" t="0" r="0" b="0"/>
                  <wp:docPr id="6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en-US" w:eastAsia="zh-CN" w:bidi="hi-IN"/>
              </w:rPr>
              <w:t>РРисунок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3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Нагрузка насоса</w:t>
            </w:r>
          </w:p>
        </w:tc>
      </w:tr>
      <w:tr>
        <w:trPr/>
        <w:tc>
          <w:tcPr>
            <w:tcW w:w="4823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30195" cy="2073275"/>
                  <wp:effectExtent l="0" t="0" r="0" b="0"/>
                  <wp:docPr id="7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4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Средняя скорость изменения давления в коллекторе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/>
              <w:drawing>
                <wp:inline distT="0" distB="0" distL="0" distR="0">
                  <wp:extent cx="2873375" cy="2094230"/>
                  <wp:effectExtent l="0" t="0" r="0" b="0"/>
                  <wp:docPr id="8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5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Целевая переменная</w:t>
            </w:r>
          </w:p>
        </w:tc>
      </w:tr>
    </w:tbl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67945</wp:posOffset>
                </wp:positionH>
                <wp:positionV relativeFrom="paragraph">
                  <wp:posOffset>150495</wp:posOffset>
                </wp:positionV>
                <wp:extent cx="5822950" cy="1518285"/>
                <wp:effectExtent l="0" t="0" r="0" b="0"/>
                <wp:wrapSquare wrapText="largest"/>
                <wp:docPr id="9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280" cy="151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74055" cy="1103630"/>
                                  <wp:effectExtent l="0" t="0" r="0" b="0"/>
                                  <wp:docPr id="11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 l="1081" t="0" r="0" b="903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4055" cy="1103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Нормированная значимость признаков для модели LAMA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5.35pt;margin-top:11.85pt;width:458.4pt;height:119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774055" cy="110363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1081" t="0" r="0" b="903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4055" cy="1103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Нормированная значимость признаков для модели LAMA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рисунке выше мы видим</w:t>
      </w:r>
      <w:r>
        <w:rPr>
          <w:lang w:val="ru-RU"/>
        </w:rPr>
        <w:t xml:space="preserve">, что только 1 переменная (время включения насоса) и значение целевой переменной с задержкой 1 и 2 шага оказались значимые в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модели. Можно предположить, что взаимосвязи между переменными нелинейные и отложенные во времени, что и требует применения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современных методов машинного обучения, заточенных под многомерные временные ряды.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eastAsia="zh-CN" w:bidi="hi-IN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41910</wp:posOffset>
                </wp:positionH>
                <wp:positionV relativeFrom="paragraph">
                  <wp:posOffset>-89535</wp:posOffset>
                </wp:positionV>
                <wp:extent cx="2732405" cy="2564130"/>
                <wp:effectExtent l="0" t="0" r="0" b="0"/>
                <wp:wrapSquare wrapText="largest"/>
                <wp:docPr id="13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680" cy="256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03195" cy="1864360"/>
                                  <wp:effectExtent l="0" t="0" r="0" b="0"/>
                                  <wp:docPr id="15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3195" cy="186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Частные автокрреляции для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46000</wp14:pctWidth>
                </wp14:sizeRelH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3.3pt;margin-top:-7.05pt;width:215.05pt;height:201.8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2703195" cy="1864360"/>
                            <wp:effectExtent l="0" t="0" r="0" b="0"/>
                            <wp:docPr id="16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3195" cy="186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Частные автокрреляции для целевой переменной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Дополнительный анализ в части целевой переменной — анализ частных автокорреляций. Приведу правее график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PACF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целевой переменной для случайного насоса. По нему видно, что до 144 лага значения являются значимыми. Уровень 144 временных интервала я буду использовать для моделей как базовую настройку размера входящего окна. Тесты показали, что более короткие значения приводят к снижению качества модели, а более высоки — увеличивают сложность моделей и увеличивают шанс переобучения.</w:t>
      </w:r>
    </w:p>
    <w:p>
      <w:pPr>
        <w:pStyle w:val="Standard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2"/>
        <w:ind w:hanging="0"/>
        <w:rPr>
          <w:lang w:val="ru-RU"/>
        </w:rPr>
      </w:pPr>
      <w:bookmarkStart w:id="7" w:name="__RefHeading___Toc2373_2022857931"/>
      <w:bookmarkEnd w:id="7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Предобработка данных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 из пакета </w:t>
      </w:r>
      <w:r>
        <w:rPr>
          <w:lang w:val="en-US"/>
        </w:rPr>
        <w:t xml:space="preserve">LAMA </w:t>
      </w:r>
      <w:r>
        <w:rPr>
          <w:lang w:val="ru-RU"/>
        </w:rPr>
        <w:t xml:space="preserve">значения целевой переменной и признаков не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нормализовывались, и идентификаторы насосов не кодировались отдельно — модель умеет работать с категориальными переменными. После того как модель показала плохой результат, я добавил значение целевой переменной и всех признаков с лагом 1 и 2.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eastAsia="zh-CN" w:bidi="hi-IN"/>
        </w:rPr>
      </w:r>
    </w:p>
    <w:p>
      <w:pPr>
        <w:pStyle w:val="Standard"/>
        <w:rPr>
          <w:lang w:val="ru-RU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всех остальных моделей использовался следующий поток обработки данных: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Нормализация значений всех переменных к интервалу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[0,1];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Интерполяция пропусков в признаках вперед квадратичной функцией;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Кодирование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id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насосов с помощью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>LabelBinarizer в отдельные столбцы с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о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 xml:space="preserve"> значениями 1 и 0;</w:t>
      </w:r>
    </w:p>
    <w:p>
      <w:pPr>
        <w:pStyle w:val="Standard"/>
        <w:numPr>
          <w:ilvl w:val="0"/>
          <w:numId w:val="10"/>
        </w:numPr>
        <w:rPr>
          <w:lang w:val="ru-RU"/>
        </w:rPr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Датафрейм из предыдущего шага был преобразован в список из датафреймов, где для каждого были наблюдения только по 1 насосу (это связано с ограничением пакета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darts);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дополнительно: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Создавалась колонка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time_idx –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индексы по времени, идущие от 0 с шагом 1 для каждого момента времени, который есть в обучающей выборке;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Не проводилось разделение одного датафрейма на список из датафреймов, так как пакет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pytorch forecasting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умеет работать с множественными наблюдениями на 1 момент времени;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Был подготовлен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dataset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и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dataloaded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в формате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pytorch.</w:t>
      </w:r>
    </w:p>
    <w:p>
      <w:pPr>
        <w:pStyle w:val="2"/>
        <w:ind w:hanging="0"/>
        <w:rPr/>
      </w:pPr>
      <w:bookmarkStart w:id="8" w:name="__RefHeading___Toc2375_2022857931"/>
      <w:bookmarkEnd w:id="8"/>
      <w:r>
        <w:rPr/>
        <w:t>Построение моделей</w:t>
      </w:r>
    </w:p>
    <w:p>
      <w:pPr>
        <w:pStyle w:val="Standard"/>
        <w:rPr>
          <w:lang w:val="ru-RU"/>
        </w:rPr>
      </w:pPr>
      <w:r>
        <w:rPr>
          <w:lang w:val="ru-RU"/>
        </w:rPr>
        <w:t>На основе обучающих выборок, для целевой переменной «Средняя скорость изменения давления на приеме насоса в ЧАС, МПа/час» я построил 4 модели, описанных выше, которые я отбирал на основе баланса новизны и простоты применения: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/>
      </w:pPr>
      <w:r>
        <w:rPr>
          <w:lang w:val="ru-RU"/>
        </w:rPr>
        <w:t xml:space="preserve">Как базовую линию я использовал модель </w:t>
      </w:r>
      <w:r>
        <w:rPr>
          <w:lang w:val="en-US"/>
        </w:rPr>
        <w:t xml:space="preserve">LAMA, </w:t>
      </w:r>
      <w:r>
        <w:rPr>
          <w:lang w:val="ru-RU"/>
        </w:rPr>
        <w:t xml:space="preserve">которая является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моделью,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поддерживает автоматический подбор гиперпараметров </w:t>
      </w:r>
      <w:r>
        <w:rPr>
          <w:lang w:val="ru-RU"/>
        </w:rPr>
        <w:t>и обучает ансамбль из бустингов в рамках фиксированного времени на обучение.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Общий подход к построению и тестированию моделей: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моделях использовались все независимые переменные;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Прогноз строился на 1 шаг вперед;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сравнения модели использовались 4 метрики: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SMAPE (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основная метрика для ранжирования моделей) — симметричная абсолютная ошибка в процентах. Выбрана основной на основе недостатка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при равенстве истинного значения 0,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выдает неопределенные значения, так как происходит деление на 0. Специфика данных — в целевой переменной пристуствуют длительные периоды нулевых значений.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средняя абсолютная ошибка;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R2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коэффициент детерминации.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Гиперпараметры были установлены значениями по умолчанию, или подобраны вручную для максимизации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SMAPE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валидационных выборках;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Обучение модели шло на 70% первых наблюдений из обучающей выборки, на 30% подбирались гиперпараметры, потом модель обучалась на всей обучающей выборке;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Валидация и финальные метрики для результов модели проводились на двух отложенных выборках для валидации «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valid1.csv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» и «valid2.csv». Прогноз моделей на двух выборках и целевая переменная конкатенировались по двум валидацоинным выборкам и на этих данных рассчитаны метрики.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 подробным кодом с реализацией всех методов можно ознакомится на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GitHub: </w:t>
      </w:r>
      <w:hyperlink r:id="rId28">
        <w:r>
          <w:rPr>
            <w:rFonts w:eastAsia="NSimSun" w:cs="Arial"/>
            <w:color w:val="auto"/>
            <w:kern w:val="2"/>
            <w:sz w:val="28"/>
            <w:szCs w:val="24"/>
            <w:lang w:val="en-US" w:eastAsia="zh-CN" w:bidi="hi-IN"/>
          </w:rPr>
          <w:t>https://github.com/ksetdekov/ts_transformers</w:t>
        </w:r>
      </w:hyperlink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</w:p>
    <w:p>
      <w:pPr>
        <w:pStyle w:val="2"/>
        <w:ind w:hanging="0"/>
        <w:rPr/>
      </w:pPr>
      <w:bookmarkStart w:id="9" w:name="__RefHeading___Toc2377_2022857931"/>
      <w:bookmarkEnd w:id="9"/>
      <w:r>
        <w:rPr/>
        <w:t>Результаты построения моделей</w:t>
      </w:r>
    </w:p>
    <w:p>
      <w:pPr>
        <w:pStyle w:val="Textbody"/>
        <w:rPr>
          <w:lang w:val="ru-RU"/>
        </w:rPr>
      </w:pPr>
      <w:r>
        <w:rPr>
          <w:lang w:val="ru-RU"/>
        </w:rPr>
        <w:t>Финальные результаты работы моделей на выборке для валидации приведены в таблице ниже:</w:t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150" w:type="dxa"/>
          <w:right w:w="150" w:type="dxa"/>
        </w:tblCellMar>
      </w:tblPr>
      <w:tblGrid>
        <w:gridCol w:w="4457"/>
        <w:gridCol w:w="1782"/>
        <w:gridCol w:w="1558"/>
        <w:gridCol w:w="1557"/>
      </w:tblGrid>
      <w:tr>
        <w:trPr/>
        <w:tc>
          <w:tcPr>
            <w:tcW w:w="4457" w:type="dxa"/>
            <w:tcBorders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keepNext w:val="true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SMAPE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MAE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sz w:val="24"/>
                <w:szCs w:val="24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R2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</w:tcBorders>
            <w:tcMar>
              <w:top w:w="150" w:type="dxa"/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0,04443</w:t>
            </w:r>
          </w:p>
        </w:tc>
        <w:tc>
          <w:tcPr>
            <w:tcW w:w="1558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0,01243</w:t>
            </w:r>
          </w:p>
        </w:tc>
        <w:tc>
          <w:tcPr>
            <w:tcW w:w="1557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0,97863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0,07002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0,02558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0,95225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0,17577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0,08316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0,81066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LAMA AutoML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1,52328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0,05426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0,95214</w:t>
            </w:r>
          </w:p>
        </w:tc>
      </w:tr>
      <w:tr>
        <w:trPr/>
        <w:tc>
          <w:tcPr>
            <w:tcW w:w="4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Time Fusion 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1,55919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0,03595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0,89242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Для трех из использованных подходов удалось получить </w:t>
      </w:r>
      <w:r>
        <w:rPr>
          <w:lang w:val="en-US"/>
        </w:rPr>
        <w:t xml:space="preserve">SMAPE </w:t>
      </w:r>
      <w:r>
        <w:rPr>
          <w:lang w:val="ru-RU"/>
        </w:rPr>
        <w:t xml:space="preserve">лучше, чем 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подхода, при этом лучший результат получен для модели </w:t>
      </w:r>
      <w:r>
        <w:rPr>
          <w:lang w:val="en-US"/>
        </w:rPr>
        <w:t>TCN.</w:t>
      </w:r>
    </w:p>
    <w:p>
      <w:pPr>
        <w:pStyle w:val="TableofFigures"/>
        <w:spacing w:before="120" w:after="120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3197225</wp:posOffset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: Пример прогноза моделей в сравнении с истинным значением </w:t>
      </w:r>
    </w:p>
    <w:p>
      <w:pPr>
        <w:pStyle w:val="Normal"/>
        <w:rPr/>
      </w:pPr>
      <w:r>
        <w:rPr/>
        <w:t>На графиках выше, мы видим визуальное сравнение качество прогноза моделей для лучшего и для худшего насоса в валидационной выборке.</w:t>
      </w:r>
    </w:p>
    <w:p>
      <w:pPr>
        <w:pStyle w:val="Normal"/>
        <w:rPr/>
      </w:pPr>
      <w:r>
        <w:rPr/>
        <w:t xml:space="preserve">Пример лучшего прогноза для модели </w:t>
      </w:r>
      <w:r>
        <w:rPr>
          <w:lang w:val="en-US"/>
        </w:rPr>
        <w:t xml:space="preserve">TCN </w:t>
      </w:r>
      <w:r>
        <w:rPr>
          <w:lang w:val="ru-RU"/>
        </w:rPr>
        <w:t xml:space="preserve">приведен ниже. Мы можем увидеть, что предсказание крайне точно, с </w:t>
      </w:r>
      <w:r>
        <w:rPr>
          <w:lang w:val="en-US"/>
        </w:rPr>
        <w:t xml:space="preserve">SMAPE &lt; 0,014 </w:t>
      </w:r>
      <w:r>
        <w:rPr>
          <w:lang w:val="ru-RU"/>
        </w:rPr>
        <w:t xml:space="preserve">и </w:t>
      </w:r>
      <w:r>
        <w:rPr>
          <w:lang w:val="en-US"/>
        </w:rPr>
        <w:t xml:space="preserve">MAE </w:t>
      </w:r>
      <w:r>
        <w:rPr>
          <w:lang w:val="ru-RU"/>
        </w:rPr>
        <w:t xml:space="preserve">&lt; </w:t>
      </w:r>
      <w:r>
        <w:rPr>
          <w:lang w:val="en-US"/>
        </w:rPr>
        <w:t xml:space="preserve">0,005 </w:t>
      </w:r>
      <w:r>
        <w:rPr>
          <w:lang w:val="ru-RU"/>
        </w:rPr>
        <w:t>для насоса №8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290695" cy="3193415"/>
                <wp:effectExtent l="0" t="0" r="0" b="0"/>
                <wp:docPr id="19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120" cy="319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32835" cy="2505710"/>
                                  <wp:effectExtent l="0" t="0" r="0" b="0"/>
                                  <wp:docPr id="21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2835" cy="2505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Факт и прогноз на 1000 наблюдений для модели TCN на </w:t>
                            </w:r>
                            <w:r>
                              <w:rPr>
                                <w:rFonts w:eastAsia="NSimSun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>валидационной выборке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fillcolor="white" stroked="f" o:allowincell="f" style="position:absolute;margin-left:0pt;margin-top:-251.45pt;width:337.75pt;height:25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32835" cy="2505710"/>
                            <wp:effectExtent l="0" t="0" r="0" b="0"/>
                            <wp:docPr id="22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2835" cy="2505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Факт и прогноз на 1000 наблюдений для модели TCN на </w:t>
                      </w:r>
                      <w:r>
                        <w:rPr>
                          <w:rFonts w:eastAsia="NSimSun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>валидационной выборке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>
          <w:lang w:val="ru-RU"/>
        </w:rPr>
        <w:t xml:space="preserve">Сравнение графиков остатков приведено в приложении на странице </w:t>
      </w:r>
      <w:r>
        <w:rPr>
          <w:lang w:val="ru-RU"/>
        </w:rPr>
        <w:fldChar w:fldCharType="begin"/>
      </w:r>
      <w:r>
        <w:rPr>
          <w:lang w:val="ru-RU"/>
        </w:rPr>
        <w:instrText> PAGEREF __RefHeading___Toc2199_2022857931 \h </w:instrText>
      </w:r>
      <w:r>
        <w:rPr>
          <w:lang w:val="ru-RU"/>
        </w:rPr>
        <w:fldChar w:fldCharType="separate"/>
      </w:r>
      <w:r>
        <w:rPr>
          <w:lang w:val="ru-RU"/>
        </w:rPr>
        <w:t>20</w:t>
      </w:r>
      <w:r>
        <w:rPr>
          <w:lang w:val="ru-RU"/>
        </w:rPr>
        <w:fldChar w:fldCharType="end"/>
      </w:r>
      <w:r>
        <w:rPr>
          <w:lang w:val="ru-RU"/>
        </w:rPr>
        <w:t xml:space="preserve">. К анализу метрик качества моделей,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интерпретация этих</w:t>
      </w:r>
      <w:r>
        <w:rPr>
          <w:lang w:val="ru-RU"/>
        </w:rPr>
        <w:t xml:space="preserve"> графиков может добавить только два момента: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>Все методы нелинейные, остатки распределены крайне далеко от нормального распределения.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 xml:space="preserve">Мы видим, что для всех методов, дисперсия остатков выше для максимальных значений, что применимо к данным означает, что решить задачу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детекции</w:t>
      </w:r>
      <w:r>
        <w:rPr>
          <w:lang w:val="ru-RU"/>
        </w:rPr>
        <w:t xml:space="preserve"> начала аномалии для модели тяжелее, чем предсказать целевую переменную, когда отклонение уже началось.</w:t>
      </w:r>
    </w:p>
    <w:p>
      <w:pPr>
        <w:pStyle w:val="Normal"/>
        <w:rPr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8255</wp:posOffset>
                </wp:positionH>
                <wp:positionV relativeFrom="paragraph">
                  <wp:posOffset>-10160</wp:posOffset>
                </wp:positionV>
                <wp:extent cx="3368040" cy="5065395"/>
                <wp:effectExtent l="0" t="0" r="0" b="0"/>
                <wp:wrapSquare wrapText="largest"/>
                <wp:docPr id="23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7440" cy="506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66770" cy="4385945"/>
                                  <wp:effectExtent l="0" t="0" r="0" b="0"/>
                                  <wp:docPr id="25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6770" cy="438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Распределение остатков для 3-х моделей в разрезе по насосам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f" o:allowincell="f" style="position:absolute;margin-left:0.65pt;margin-top:-0.8pt;width:265.1pt;height:398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66770" cy="4385945"/>
                            <wp:effectExtent l="0" t="0" r="0" b="0"/>
                            <wp:docPr id="26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6770" cy="438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Распределение остатков для 3-х моделей в разрезе по насосам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lang w:val="ru-RU"/>
        </w:rPr>
      </w:pPr>
      <w:r>
        <w:rPr>
          <w:lang w:val="ru-RU"/>
        </w:rPr>
        <w:t>Анализ остатков в разрезе по насосам, приведенный на графике слева только подтверждает наблюдения, которые сделаны без разреза по насосам — для лучшей модели,</w:t>
      </w:r>
      <w:r>
        <w:rPr>
          <w:lang w:val="en-US"/>
        </w:rPr>
        <w:t xml:space="preserve"> TCN </w:t>
      </w:r>
      <w:r>
        <w:rPr>
          <w:lang w:val="ru-RU"/>
        </w:rPr>
        <w:t xml:space="preserve">разброс остатков в среднем ниже, чем для модели Трансформеров и </w:t>
      </w:r>
      <w:r>
        <w:rPr>
          <w:lang w:val="en-US"/>
        </w:rPr>
        <w:t xml:space="preserve">N-Beats. </w:t>
      </w:r>
      <w:r>
        <w:rPr>
          <w:lang w:val="ru-RU"/>
        </w:rPr>
        <w:t>При этом для каждого насоса можно отметить, что распределения имеют тяжелые хвосты и высокую концентрацию около 0. Систематических отклонений от прогноза для какого-либо насоса не выявлено.</w:t>
      </w:r>
    </w:p>
    <w:p>
      <w:pPr>
        <w:pStyle w:val="1"/>
        <w:ind w:hanging="0"/>
        <w:rPr/>
      </w:pPr>
      <w:bookmarkStart w:id="10" w:name="__RefHeading___Toc3520_3228052382"/>
      <w:bookmarkEnd w:id="10"/>
      <w:r>
        <w:rPr/>
        <w:t>Заключение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b w:val="false"/>
          <w:bCs w:val="false"/>
          <w:lang w:val="ru-RU"/>
        </w:rPr>
        <w:t xml:space="preserve">В рамках этой работы удалось показать, что </w:t>
      </w:r>
      <w:r>
        <w:rPr>
          <w:b w:val="false"/>
          <w:bCs w:val="false"/>
          <w:lang w:val="en-US"/>
        </w:rPr>
        <w:t xml:space="preserve">SOTA </w:t>
      </w:r>
      <w:r>
        <w:rPr>
          <w:b w:val="false"/>
          <w:bCs w:val="false"/>
          <w:lang w:val="ru-RU"/>
        </w:rPr>
        <w:t>модели для много</w:t>
      </w:r>
      <w:r>
        <w:rPr>
          <w:lang w:val="ru-RU"/>
        </w:rPr>
        <w:t xml:space="preserve">компонентных временных рядов работают лучше </w:t>
      </w:r>
      <w:r>
        <w:rPr>
          <w:lang w:val="en-US"/>
        </w:rPr>
        <w:t xml:space="preserve">AutoML </w:t>
      </w:r>
      <w:r>
        <w:rPr>
          <w:lang w:val="ru-RU"/>
        </w:rPr>
        <w:t>подходов (3 из 4 моделей показали лучшее качество на валидации).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На основе анализа эмбеддинга </w:t>
      </w:r>
      <w:r>
        <w:rPr>
          <w:lang w:val="en-US"/>
        </w:rPr>
        <w:t xml:space="preserve">catch22 </w:t>
      </w:r>
      <w:r>
        <w:rPr>
          <w:lang w:val="ru-RU"/>
        </w:rPr>
        <w:t xml:space="preserve">для временных рядов удалось найти связь между характеристиками временных рядов, где модели работали хуже </w:t>
      </w:r>
      <w:r>
        <w:rPr>
          <w:lang w:val="en-US"/>
        </w:rPr>
        <w:t>(</w:t>
      </w:r>
      <w:r>
        <w:rPr>
          <w:lang w:val="ru-RU"/>
        </w:rPr>
        <w:t>в приложении 2, ниже</w:t>
      </w:r>
      <w:r>
        <w:rPr>
          <w:lang w:val="en-US"/>
        </w:rPr>
        <w:t>)</w:t>
      </w:r>
      <w:r>
        <w:rPr>
          <w:lang w:val="ru-RU"/>
        </w:rPr>
        <w:t xml:space="preserve">. Интерпретируемый вывод из этого — можно оценивать отклонение распределения целевой переменной в прогнозах и таким образом детектировать заранее снижение кажества прогнозов. Также,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анали</w:t>
      </w:r>
      <w:r>
        <w:rPr>
          <w:lang w:val="ru-RU"/>
        </w:rPr>
        <w:t xml:space="preserve"> 3 комонент DN_HistogramMode_5, DN_HistogramMode_10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CO_HistogramAMI_even_2_5 отвчающих за форму распределения указывает на то, что хуже всего методы Трансформов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N-Beats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сработали для групп насосов, где в обучающей выборке было меньше отклонений от константного значения. Потенциально решением может быть проведение балансировки обучающей выборки или накопления большего объема данных.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Модель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time fusion transformer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на доступных данных имела тенденцию к переобучению, что можно связать с большим числом весов даже в базовой модели (160 тысяч весов и 140 тысяч наблюдений).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Для моделей трансформеров, временные ряды, по которым лучше всего работал прогноз были похожи на данные из области финансов, а ряды с худшим качеством на валидационной выборке — на временные ряды из области микроэкономики, согласно сравнению результатов из базы данных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CompEngine</w:t>
      </w:r>
      <w:r>
        <w:rPr>
          <w:rStyle w:val="Style13"/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footnoteReference w:id="10"/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.</w:t>
      </w:r>
    </w:p>
    <w:p>
      <w:pPr>
        <w:pStyle w:val="1"/>
        <w:ind w:hanging="0"/>
        <w:rPr/>
      </w:pPr>
      <w:bookmarkStart w:id="11" w:name="__RefHeading___Toc3522_3228052382"/>
      <w:bookmarkEnd w:id="11"/>
      <w:r>
        <w:rPr/>
        <w:t>Приложения</w:t>
      </w:r>
    </w:p>
    <w:p>
      <w:pPr>
        <w:pStyle w:val="2"/>
        <w:ind w:hanging="0"/>
        <w:rPr/>
      </w:pPr>
      <w:bookmarkStart w:id="12" w:name="__RefHeading___Toc726_1315981873"/>
      <w:bookmarkEnd w:id="12"/>
      <w:r>
        <w:rPr/>
        <w:t>Приложение 1. Гиперпараметры для моделей</w:t>
      </w:r>
    </w:p>
    <w:p>
      <w:pPr>
        <w:pStyle w:val="3"/>
        <w:numPr>
          <w:ilvl w:val="2"/>
          <w:numId w:val="2"/>
        </w:numPr>
        <w:rPr/>
      </w:pPr>
      <w:bookmarkStart w:id="13" w:name="__RefHeading___Toc2379_2022857931"/>
      <w:bookmarkEnd w:id="13"/>
      <w:r>
        <w:rPr/>
        <w:t>LAMA</w:t>
      </w:r>
    </w:p>
    <w:p>
      <w:pPr>
        <w:pStyle w:val="Standard"/>
        <w:rPr/>
      </w:pPr>
      <w:r>
        <w:rPr>
          <w:lang w:val="ru-RU"/>
        </w:rPr>
        <w:t>Финальн</w:t>
      </w:r>
      <w:r>
        <w:rPr>
          <w:sz w:val="28"/>
          <w:szCs w:val="28"/>
          <w:lang w:val="ru-RU"/>
        </w:rPr>
        <w:t xml:space="preserve">ая модель обучалась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методом TabularUtilizedAutoML, который подбирает гиперпараметры и строит ансамбли из моделей отталкиваясь от ограничения по времени. Я использовал: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timeout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ограничение по времени)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 – 1000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секунд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cpu_limit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(число ядер)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–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10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cv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кросс-валидация) —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5 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3"/>
        <w:numPr>
          <w:ilvl w:val="2"/>
          <w:numId w:val="2"/>
        </w:numPr>
        <w:rPr/>
      </w:pPr>
      <w:bookmarkStart w:id="14" w:name="__RefHeading___Toc2381_2022857931"/>
      <w:bookmarkEnd w:id="14"/>
      <w:r>
        <w:rPr/>
        <w:t>TCN</w:t>
      </w:r>
    </w:p>
    <w:p>
      <w:pPr>
        <w:pStyle w:val="Standard"/>
        <w:rPr/>
      </w:pPr>
      <w:r>
        <w:rPr>
          <w:lang w:val="ru-RU"/>
        </w:rPr>
        <w:t>Финальная модель TCNModel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0.01;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>dilation_base (основание для степенной функции, которая отвечает за расширение рецептивного поля на каждом слое) 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weight_norm (использовать нормализацию весов) True;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kernel_size </w:t>
      </w:r>
      <w:r>
        <w:rPr>
          <w:lang w:val="en-US"/>
        </w:rPr>
        <w:t>(</w:t>
      </w:r>
      <w:r>
        <w:rPr>
          <w:lang w:val="ru-RU"/>
        </w:rPr>
        <w:t>размер ядра сверки</w:t>
      </w:r>
      <w:r>
        <w:rPr>
          <w:lang w:val="en-US"/>
        </w:rPr>
        <w:t xml:space="preserve">) – </w:t>
      </w:r>
      <w:r>
        <w:rPr>
          <w:lang w:val="ru-RU"/>
        </w:rPr>
        <w:t>5;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num_filters (число каналов на каждом слое сверки) — 3.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/>
      </w:pPr>
      <w:bookmarkStart w:id="15" w:name="__RefHeading___Toc2383_2022857931"/>
      <w:bookmarkEnd w:id="15"/>
      <w:r>
        <w:rPr/>
        <w:t>N-Beats</w:t>
      </w:r>
    </w:p>
    <w:p>
      <w:pPr>
        <w:pStyle w:val="Standard"/>
        <w:rPr/>
      </w:pPr>
      <w:r>
        <w:rPr>
          <w:lang w:val="ru-RU"/>
        </w:rPr>
        <w:t>Финальная модель NBEATSModel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generic_architecture=True,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num_stacks </w:t>
      </w:r>
      <w:r>
        <w:rPr>
          <w:lang w:val="en-US"/>
        </w:rPr>
        <w:t>(</w:t>
      </w:r>
      <w:r>
        <w:rPr>
          <w:lang w:val="ru-RU"/>
        </w:rPr>
        <w:t>число слоев трендов и сезонностей</w:t>
      </w:r>
      <w:r>
        <w:rPr>
          <w:lang w:val="en-US"/>
        </w:rPr>
        <w:t xml:space="preserve">) </w:t>
      </w:r>
      <w:r>
        <w:rPr>
          <w:lang w:val="ru-RU"/>
        </w:rPr>
        <w:t>— 10,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num_blocks (число блоков в одном слое) — 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num_layers (число полносвязных слоев в каждом блоке каждого стэка)— 4,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layer_widths (число нейронов в полносвязных слоях) — 512,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nr_epochs_val_period (сколько эпох ждать до начала теста) —1,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—800.</w:t>
      </w:r>
    </w:p>
    <w:p>
      <w:pPr>
        <w:pStyle w:val="3"/>
        <w:numPr>
          <w:ilvl w:val="2"/>
          <w:numId w:val="2"/>
        </w:numPr>
        <w:rPr/>
      </w:pPr>
      <w:bookmarkStart w:id="16" w:name="__RefHeading___Toc2385_2022857931"/>
      <w:bookmarkEnd w:id="16"/>
      <w:r>
        <w:rPr/>
        <w:t>Transformer</w:t>
      </w:r>
    </w:p>
    <w:p>
      <w:pPr>
        <w:pStyle w:val="Standard"/>
        <w:rPr/>
      </w:pPr>
      <w:r>
        <w:rPr>
          <w:lang w:val="ru-RU"/>
        </w:rPr>
        <w:t>Финальная модель TransformerModel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d_model (ожидаемое число фичей)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nhead (число голов на входе механизма внимания) — 16;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num_encoder_layers (число слоев энкодера) — 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num_decoder_layers (число слоев декодера) —3;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dim_feedforward — 512;</w:t>
      </w:r>
    </w:p>
    <w:p>
      <w:pPr>
        <w:pStyle w:val="Standard"/>
        <w:numPr>
          <w:ilvl w:val="0"/>
          <w:numId w:val="7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функция активации</w:t>
      </w:r>
      <w:r>
        <w:rPr>
          <w:lang w:val="ru-RU"/>
        </w:rPr>
        <w:t xml:space="preserve"> — "relu";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</w:t>
      </w:r>
    </w:p>
    <w:p>
      <w:pPr>
        <w:pStyle w:val="Standard"/>
        <w:rPr>
          <w:lang w:val="en-US"/>
        </w:rPr>
      </w:pPr>
      <w:r>
        <w:rPr>
          <w:lang w:val="en-US"/>
        </w:rPr>
        <w:t>Time Fusion Transformer</w:t>
      </w:r>
    </w:p>
    <w:p>
      <w:pPr>
        <w:pStyle w:val="Standard"/>
        <w:rPr/>
      </w:pPr>
      <w:r>
        <w:rPr>
          <w:lang w:val="ru-RU"/>
        </w:rPr>
        <w:t>Финальная модель TemporalFusionTransformer</w:t>
      </w:r>
      <w:r>
        <w:rPr>
          <w:lang w:val="en-US"/>
        </w:rPr>
        <w:t xml:space="preserve"> </w:t>
      </w:r>
      <w:r>
        <w:rPr>
          <w:lang w:val="ru-RU"/>
        </w:rPr>
        <w:t>из пакета pytorch_forecasting</w:t>
      </w:r>
      <w:r>
        <w:rPr>
          <w:lang w:val="en-US"/>
        </w:rPr>
        <w:t xml:space="preserve">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learning_rate </w:t>
      </w:r>
      <w:r>
        <w:rPr>
          <w:lang w:val="en-US"/>
        </w:rPr>
        <w:t>(</w:t>
      </w:r>
      <w:r>
        <w:rPr>
          <w:lang w:val="ru-RU"/>
        </w:rPr>
        <w:t>коэффициент скорости обучения) — 0,1789, подобран на обучающей выборке;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размер скрытого слоя — 32;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по-умолчанию.</w:t>
      </w:r>
    </w:p>
    <w:p>
      <w:pPr>
        <w:pStyle w:val="2"/>
        <w:ind w:hanging="0"/>
        <w:rPr/>
      </w:pPr>
      <w:bookmarkStart w:id="17" w:name="__RefHeading___Toc2387_2022857931"/>
      <w:bookmarkEnd w:id="17"/>
      <w:r>
        <w:rPr/>
        <w:t xml:space="preserve">Приложение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2</w:t>
      </w:r>
      <w:r>
        <w:rPr/>
        <w:t xml:space="preserve">. 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bookmarkStart w:id="18" w:name="docs-internal-guid-8fa4860b-7fff-63d2-0d"/>
      <w:bookmarkEnd w:id="18"/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 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p-value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для теста на равенство средних значений соответствующего эмбеддинга из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Catch22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 группах насосов, где метод работал выше и ниже медианы по </w:t>
      </w:r>
      <w:r>
        <w:rPr>
          <w:rFonts w:eastAsia="NSimSun" w:cs="Arial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SMAPE</w:t>
      </w:r>
    </w:p>
    <w:tbl>
      <w:tblPr>
        <w:tblW w:w="9351" w:type="dxa"/>
        <w:jc w:val="left"/>
        <w:tblInd w:w="0" w:type="dxa"/>
        <w:tblLayout w:type="fixed"/>
        <w:tblCellMar>
          <w:top w:w="150" w:type="dxa"/>
          <w:left w:w="150" w:type="dxa"/>
          <w:bottom w:w="150" w:type="dxa"/>
          <w:right w:w="150" w:type="dxa"/>
        </w:tblCellMar>
      </w:tblPr>
      <w:tblGrid>
        <w:gridCol w:w="4351"/>
        <w:gridCol w:w="1250"/>
        <w:gridCol w:w="1248"/>
        <w:gridCol w:w="1250"/>
        <w:gridCol w:w="1252"/>
      </w:tblGrid>
      <w:tr>
        <w:trPr>
          <w:trHeight w:val="675" w:hRule="atLeast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widowControl w:val="false"/>
              <w:rPr/>
            </w:pPr>
            <w:r>
              <w:rPr/>
              <w:t> </w:t>
            </w:r>
            <w:r>
              <w:rPr>
                <w:lang w:val="ru-RU"/>
              </w:rPr>
              <w:t xml:space="preserve">Компонент эмбеддинга </w:t>
            </w:r>
            <w:r>
              <w:rPr>
                <w:lang w:val="en-US"/>
              </w:rPr>
              <w:t>Catch22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Transformer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Time fusion transformer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0.015071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0.199686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0.010161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0.111029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DN_HistogramMode_10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0.012908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0.194820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0.008116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0.111845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CO_f1ecac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0.120809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0.685683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0.088088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0.047290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CO_HistogramAMI_even_2_5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0.034984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0.327320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0.016642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0.123993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SB_TransitionMatrix_3ac_sumdiagcov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0.146661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0.615027</w:t>
            </w:r>
          </w:p>
        </w:tc>
      </w:tr>
      <w:tr>
        <w:trPr>
          <w:trHeight w:val="288" w:hRule="atLeast"/>
        </w:trPr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widowControl w:val="false"/>
              <w:bidi w:val="0"/>
              <w:spacing w:lineRule="auto" w:line="288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CO_Embed2_Dist_tau_d_expfit_meandiff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0.107719</w:t>
            </w:r>
          </w:p>
        </w:tc>
        <w:tc>
          <w:tcPr>
            <w:tcW w:w="1248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0.627726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0.077979</w:t>
            </w:r>
          </w:p>
        </w:tc>
        <w:tc>
          <w:tcPr>
            <w:tcW w:w="1252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widowControl w:val="false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0.025494</w:t>
            </w:r>
          </w:p>
        </w:tc>
      </w:tr>
    </w:tbl>
    <w:p>
      <w:pPr>
        <w:pStyle w:val="Textbody"/>
        <w:rPr>
          <w:rFonts w:ascii="Times New Roman" w:hAnsi="Times New Roman" w:eastAsia="NSimSun" w:cs="Arial"/>
          <w:b/>
          <w:b/>
          <w:bCs/>
          <w:color w:val="auto"/>
          <w:kern w:val="2"/>
          <w:sz w:val="36"/>
          <w:szCs w:val="36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</w:r>
    </w:p>
    <w:p>
      <w:pPr>
        <w:pStyle w:val="2"/>
        <w:ind w:hanging="0"/>
        <w:rPr/>
      </w:pPr>
      <w:bookmarkStart w:id="19" w:name="__RefHeading___Toc2199_2022857931"/>
      <w:bookmarkEnd w:id="19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 xml:space="preserve">Приложение 3. график остатков модели в зависимости от истинного значения и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 xml:space="preserve">Q-Q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графики распределения остатков</w:t>
      </w:r>
    </w:p>
    <w:p>
      <w:pPr>
        <w:pStyle w:val="Textbody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-177800</wp:posOffset>
            </wp:positionV>
            <wp:extent cx="5940425" cy="1414780"/>
            <wp:effectExtent l="0" t="0" r="0" b="0"/>
            <wp:wrapSquare wrapText="largest"/>
            <wp:docPr id="2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-7620</wp:posOffset>
            </wp:positionH>
            <wp:positionV relativeFrom="paragraph">
              <wp:posOffset>1356995</wp:posOffset>
            </wp:positionV>
            <wp:extent cx="5940425" cy="1583690"/>
            <wp:effectExtent l="0" t="0" r="0" b="0"/>
            <wp:wrapSquare wrapText="largest"/>
            <wp:docPr id="2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ind w:hanging="0"/>
        <w:rPr/>
      </w:pPr>
      <w:r>
        <w:rPr/>
      </w:r>
      <w:r>
        <w:br w:type="page"/>
      </w:r>
    </w:p>
    <w:p>
      <w:pPr>
        <w:pStyle w:val="1"/>
        <w:ind w:hanging="0"/>
        <w:rPr/>
      </w:pPr>
      <w:bookmarkStart w:id="20" w:name="__RefHeading___Toc5291_2022857931"/>
      <w:bookmarkEnd w:id="20"/>
      <w:r>
        <w:rPr/>
        <w:t>Список литературы</w:t>
      </w:r>
    </w:p>
    <w:p>
      <w:pPr>
        <w:pStyle w:val="Style32"/>
        <w:rPr/>
      </w:pPr>
      <w:r>
        <w:rPr/>
      </w:r>
    </w:p>
    <w:p>
      <w:pPr>
        <w:pStyle w:val="12"/>
        <w:tabs>
          <w:tab w:val="clear" w:pos="9355"/>
        </w:tabs>
        <w:rPr/>
      </w:pPr>
      <w:r>
        <w:fldChar w:fldCharType="begin"/>
      </w:r>
      <w:r>
        <w:rPr/>
        <w:instrText> BIBLIOGRAPHY </w:instrText>
      </w:r>
      <w:r>
        <w:rPr/>
        <w:fldChar w:fldCharType="separate"/>
      </w:r>
      <w:r>
        <w:rPr/>
        <w:t>1: Ashish Vaswani, Noam Shazeer, Niki Parmar, Jakob Uszkoreit, Llion Jones, Aidan N. Gomez, Lukasz Kaiser, Illia Polosukhin, Attention is All You Need, 2017</w:t>
      </w:r>
    </w:p>
    <w:p>
      <w:pPr>
        <w:pStyle w:val="12"/>
        <w:tabs>
          <w:tab w:val="clear" w:pos="9355"/>
        </w:tabs>
        <w:rPr/>
      </w:pPr>
      <w:r>
        <w:rPr/>
        <w:t>2: Minhao Liu, Ailing Zeng, Zhijian Xu, Qiuxia Lai, Qiang Xu, Time Series is a Special Sequence: Forecasting with Sample Convolution and Interaction, 2021</w:t>
      </w:r>
    </w:p>
    <w:p>
      <w:pPr>
        <w:pStyle w:val="12"/>
        <w:tabs>
          <w:tab w:val="clear" w:pos="9355"/>
        </w:tabs>
        <w:rPr/>
      </w:pPr>
      <w:r>
        <w:rPr/>
        <w:t>3: Jacek Klimek, Jakub Klimek, Witold Kraskiewicz, Mateusz Topolewski , Long-term series forecasting with Query Selector -- efficient model of sparse attention, 2021</w:t>
      </w:r>
    </w:p>
    <w:p>
      <w:pPr>
        <w:pStyle w:val="12"/>
        <w:tabs>
          <w:tab w:val="clear" w:pos="9355"/>
        </w:tabs>
        <w:rPr/>
      </w:pPr>
      <w:r>
        <w:rPr/>
        <w:t>4: Haoyi Zhou, Shanghang Zhang, Jieqi Peng, Shuai Zhang, Jianxin Li, Hui Xiong, Wancai Zhang , Informer: Beyond Efficient Transformer for Long Sequence Time-Series Forecasting, 2021</w:t>
      </w:r>
    </w:p>
    <w:p>
      <w:pPr>
        <w:pStyle w:val="12"/>
        <w:tabs>
          <w:tab w:val="clear" w:pos="9355"/>
        </w:tabs>
        <w:rPr/>
      </w:pPr>
      <w:r>
        <w:rPr/>
        <w:t>5: Yitian Chen, Yanfei Kang, Yixiong Chen, Zizhuo Wang, Probabilistic Forecasting with Temporal Convolutional Neural Network, 2020</w:t>
      </w:r>
    </w:p>
    <w:p>
      <w:pPr>
        <w:pStyle w:val="12"/>
        <w:tabs>
          <w:tab w:val="clear" w:pos="9355"/>
        </w:tabs>
        <w:rPr/>
      </w:pPr>
      <w:r>
        <w:rPr/>
        <w:t>6: Boris N. Oreshkin, Dmitri Carpov, Nicolas Chapados, Yoshua Bengio, N-BEATS: Neural basis expansion analysis for interpretable time series forecasting, 2020</w:t>
      </w:r>
    </w:p>
    <w:p>
      <w:pPr>
        <w:pStyle w:val="12"/>
        <w:tabs>
          <w:tab w:val="clear" w:pos="9355"/>
        </w:tabs>
        <w:rPr/>
      </w:pPr>
      <w:r>
        <w:rPr/>
        <w:t>7: Bryan Lim, Sercan O. Arik, Nicolas Loeff, Tomas Pfister, Temporal Fusion Transformers for Interpretable Multi-horizon Time Series Forecasting, 2020</w:t>
      </w:r>
    </w:p>
    <w:p>
      <w:pPr>
        <w:pStyle w:val="12"/>
        <w:tabs>
          <w:tab w:val="clear" w:pos="9355"/>
        </w:tabs>
        <w:rPr/>
      </w:pPr>
      <w:r>
        <w:rPr/>
        <w:t xml:space="preserve">8: S Abdurakipov, On increasing the efficiency of electric submersible pumps by using big data processing technologies, </w:t>
      </w:r>
      <w:r>
        <w:rPr/>
        <w:fldChar w:fldCharType="end"/>
      </w:r>
    </w:p>
    <w:p>
      <w:pPr>
        <w:pStyle w:val="Textbody"/>
        <w:spacing w:before="240" w:after="120"/>
        <w:rPr/>
      </w:pPr>
      <w:r>
        <w:rPr/>
      </w:r>
    </w:p>
    <w:sectPr>
      <w:footerReference w:type="default" r:id="rId37"/>
      <w:footerReference w:type="first" r:id="rId38"/>
      <w:footnotePr>
        <w:numFmt w:val="decimal"/>
      </w:footnotePr>
      <w:type w:val="nextPage"/>
      <w:pgSz w:w="11906" w:h="16838"/>
      <w:pgMar w:left="1984" w:right="567" w:gutter="0" w:header="0" w:top="1276" w:footer="1276" w:bottom="2041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swiss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SFMono-Regular">
    <w:altName w:val="Menlo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6"/>
        <w:rPr/>
      </w:pPr>
      <w:r>
        <w:rPr>
          <w:rStyle w:val="Style14"/>
        </w:rPr>
        <w:footnoteRef/>
      </w:r>
      <w:hyperlink r:id="rId1">
        <w:r>
          <w:rPr/>
          <w:t>https://paperswithcode.com/sota/time-series-forecasting-on-etth2-720</w:t>
        </w:r>
      </w:hyperlink>
      <w:r>
        <w:rPr/>
        <w:t xml:space="preserve"> </w:t>
      </w:r>
    </w:p>
  </w:footnote>
  <w:footnote w:id="3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https://github.com/cure-lab/SCINet</w:t>
      </w:r>
    </w:p>
  </w:footnote>
  <w:footnote w:id="4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https://github.com/moraieu/query-selector</w:t>
      </w:r>
    </w:p>
  </w:footnote>
  <w:footnote w:id="5">
    <w:p>
      <w:pPr>
        <w:pStyle w:val="Footnote"/>
        <w:rPr/>
      </w:pPr>
      <w:r>
        <w:rPr>
          <w:rStyle w:val="Style14"/>
        </w:rPr>
        <w:footnoteRef/>
      </w:r>
      <w:hyperlink r:id="rId2">
        <w:r>
          <w:rPr/>
          <w:tab/>
          <w:t>https://github.com/zhouhaoyi/Informer2020</w:t>
        </w:r>
      </w:hyperlink>
      <w:r>
        <w:rPr/>
        <w:t xml:space="preserve"> — самый популярный по активности редакторов и наблюдателей репозиторий из этого обзора</w:t>
      </w:r>
    </w:p>
  </w:footnote>
  <w:footnote w:id="6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https://github.com/ashishpatel26/tcn-keras-Examples</w:t>
      </w:r>
    </w:p>
  </w:footnote>
  <w:footnote w:id="7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https://github.com/unit8co/darts</w:t>
      </w:r>
    </w:p>
  </w:footnote>
  <w:footnote w:id="8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https://github.com/ElementAI/N-BEATS</w:t>
      </w:r>
    </w:p>
  </w:footnote>
  <w:footnote w:id="9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https://github.com/google-research/google-research/tree/master/tft</w:t>
      </w:r>
    </w:p>
  </w:footnote>
  <w:footnote w:id="10">
    <w:p>
      <w:pPr>
        <w:pStyle w:val="Style26"/>
        <w:rPr/>
      </w:pPr>
      <w:r>
        <w:rPr>
          <w:rStyle w:val="Style14"/>
        </w:rPr>
        <w:footnoteRef/>
      </w:r>
      <w:r>
        <w:rPr/>
        <w:t xml:space="preserve"> </w:t>
      </w:r>
      <w:hyperlink r:id="rId3">
        <w:r>
          <w:rPr/>
          <w:t>https://www.comp-engine.org/</w:t>
        </w:r>
      </w:hyperlink>
      <w:r>
        <w:rPr/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1">
    <w:name w:val="Heading 1"/>
    <w:basedOn w:val="Style19"/>
    <w:next w:val="Textbody"/>
    <w:qFormat/>
    <w:pPr>
      <w:spacing w:before="240" w:after="120"/>
      <w:outlineLvl w:val="0"/>
    </w:pPr>
    <w:rPr>
      <w:rFonts w:ascii="Times New Roman" w:hAnsi="Times New Roman" w:eastAsia="NSimSun"/>
      <w:b/>
      <w:bCs/>
      <w:sz w:val="48"/>
      <w:szCs w:val="48"/>
    </w:rPr>
  </w:style>
  <w:style w:type="paragraph" w:styleId="2">
    <w:name w:val="Heading 2"/>
    <w:basedOn w:val="Style19"/>
    <w:next w:val="Textbody"/>
    <w:qFormat/>
    <w:pPr>
      <w:spacing w:before="200" w:after="120"/>
      <w:outlineLvl w:val="1"/>
    </w:pPr>
    <w:rPr>
      <w:rFonts w:ascii="Times New Roman" w:hAnsi="Times New Roman" w:eastAsia="NSimSun"/>
      <w:b/>
      <w:bCs/>
      <w:sz w:val="36"/>
      <w:szCs w:val="36"/>
    </w:rPr>
  </w:style>
  <w:style w:type="paragraph" w:styleId="3">
    <w:name w:val="Heading 3"/>
    <w:basedOn w:val="Style19"/>
    <w:next w:val="Style20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Normal"/>
    <w:next w:val="Normal"/>
    <w:qFormat/>
    <w:pPr>
      <w:keepNext w:val="true"/>
      <w:keepLines/>
      <w:spacing w:before="40" w:after="0"/>
      <w:outlineLvl w:val="5"/>
    </w:pPr>
    <w:rPr>
      <w:rFonts w:ascii="Calibri Light" w:hAnsi="Calibri Light" w:eastAsia="NSimSun" w:cs="Arial"/>
      <w:color w:val="1F4D78"/>
    </w:rPr>
  </w:style>
  <w:style w:type="character" w:styleId="DefaultParagraphFont">
    <w:name w:val="Default Paragraph Font"/>
    <w:qFormat/>
    <w:rPr/>
  </w:style>
  <w:style w:type="character" w:styleId="Style10">
    <w:name w:val="Символ нумерации"/>
    <w:qFormat/>
    <w:rPr/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Привязка сноски"/>
    <w:rPr>
      <w:vertAlign w:val="superscript"/>
    </w:rPr>
  </w:style>
  <w:style w:type="character" w:styleId="Style14">
    <w:name w:val="Символ сноски"/>
    <w:qFormat/>
    <w:rPr/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Style15">
    <w:name w:val="Текст примечания Знак"/>
    <w:basedOn w:val="DefaultParagraphFont"/>
    <w:qFormat/>
    <w:rPr>
      <w:rFonts w:cs="Mangal"/>
      <w:sz w:val="20"/>
      <w:szCs w:val="18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6">
    <w:name w:val="Ссылка указателя"/>
    <w:qFormat/>
    <w:rPr/>
  </w:style>
  <w:style w:type="character" w:styleId="Style17">
    <w:name w:val="Привязка концевой сноски"/>
    <w:rPr>
      <w:vertAlign w:val="superscript"/>
    </w:rPr>
  </w:style>
  <w:style w:type="character" w:styleId="Style18">
    <w:name w:val="Символ концевой сноски"/>
    <w:qFormat/>
    <w:rPr/>
  </w:style>
  <w:style w:type="paragraph" w:styleId="Style19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Textbody"/>
    <w:pPr/>
    <w:rPr/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3">
    <w:name w:val="Указатель"/>
    <w:basedOn w:val="Standard"/>
    <w:qFormat/>
    <w:pPr>
      <w:suppressLineNumbers/>
    </w:pPr>
    <w:rPr/>
  </w:style>
  <w:style w:type="paragraph" w:styleId="Standard">
    <w:name w:val="Standard"/>
    <w:qFormat/>
    <w:pPr>
      <w:widowControl w:val="false"/>
      <w:suppressAutoHyphens w:val="true"/>
      <w:overflowPunct w:val="tru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yle24">
    <w:name w:val="Содержимое таблицы"/>
    <w:basedOn w:val="Standard"/>
    <w:qFormat/>
    <w:pPr>
      <w:suppressLineNumbers/>
    </w:pPr>
    <w:rPr/>
  </w:style>
  <w:style w:type="paragraph" w:styleId="Style25">
    <w:name w:val="Заголовок таблицы"/>
    <w:basedOn w:val="Style24"/>
    <w:qFormat/>
    <w:pPr>
      <w:jc w:val="center"/>
    </w:pPr>
    <w:rPr>
      <w:b/>
      <w:bCs/>
    </w:rPr>
  </w:style>
  <w:style w:type="paragraph" w:styleId="Footnote">
    <w:name w:val="Footnote"/>
    <w:basedOn w:val="Standard"/>
    <w:qFormat/>
    <w:pPr>
      <w:suppressLineNumbers/>
      <w:ind w:left="340" w:right="0" w:hanging="340"/>
    </w:pPr>
    <w:rPr>
      <w:sz w:val="24"/>
      <w:szCs w:val="20"/>
    </w:rPr>
  </w:style>
  <w:style w:type="paragraph" w:styleId="Annotationtext">
    <w:name w:val="annotation text"/>
    <w:basedOn w:val="Normal"/>
    <w:qFormat/>
    <w:pPr/>
    <w:rPr>
      <w:rFonts w:cs="Mangal"/>
      <w:sz w:val="20"/>
      <w:szCs w:val="18"/>
    </w:rPr>
  </w:style>
  <w:style w:type="paragraph" w:styleId="Style26">
    <w:name w:val="Footnote Text"/>
    <w:basedOn w:val="Normal"/>
    <w:pPr/>
    <w:rPr/>
  </w:style>
  <w:style w:type="paragraph" w:styleId="Style27">
    <w:name w:val="Index Heading"/>
    <w:basedOn w:val="Style19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7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61">
    <w:name w:val="TOC 6"/>
    <w:basedOn w:val="Style23"/>
    <w:pPr>
      <w:tabs>
        <w:tab w:val="clear" w:pos="709"/>
        <w:tab w:val="right" w:pos="8221" w:leader="dot"/>
      </w:tabs>
      <w:ind w:left="1417" w:right="0" w:hanging="0"/>
    </w:pPr>
    <w:rPr/>
  </w:style>
  <w:style w:type="paragraph" w:styleId="11">
    <w:name w:val="TOC 1"/>
    <w:basedOn w:val="Style23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tyle28">
    <w:name w:val="End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21">
    <w:name w:val="TOC 2"/>
    <w:basedOn w:val="Style23"/>
    <w:pPr>
      <w:tabs>
        <w:tab w:val="clear" w:pos="709"/>
        <w:tab w:val="right" w:pos="9355" w:leader="dot"/>
      </w:tabs>
      <w:ind w:left="283" w:right="0" w:hanging="0"/>
    </w:pPr>
    <w:rPr/>
  </w:style>
  <w:style w:type="paragraph" w:styleId="TableofFigures">
    <w:name w:val="Table of Figures"/>
    <w:basedOn w:val="Style22"/>
    <w:qFormat/>
    <w:pPr/>
    <w:rPr/>
  </w:style>
  <w:style w:type="paragraph" w:styleId="Style29">
    <w:name w:val="Колонтитул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30">
    <w:name w:val="Footer"/>
    <w:basedOn w:val="Style29"/>
    <w:pPr>
      <w:suppressLineNumbers/>
    </w:pPr>
    <w:rPr/>
  </w:style>
  <w:style w:type="paragraph" w:styleId="Style31">
    <w:name w:val="Содержимое врезки"/>
    <w:basedOn w:val="Normal"/>
    <w:qFormat/>
    <w:pPr/>
    <w:rPr/>
  </w:style>
  <w:style w:type="paragraph" w:styleId="31">
    <w:name w:val="TOC 3"/>
    <w:basedOn w:val="Style23"/>
    <w:pPr>
      <w:tabs>
        <w:tab w:val="clear" w:pos="709"/>
        <w:tab w:val="right" w:pos="8788" w:leader="dot"/>
      </w:tabs>
      <w:ind w:left="567" w:hanging="0"/>
    </w:pPr>
    <w:rPr/>
  </w:style>
  <w:style w:type="paragraph" w:styleId="TableofAuthorities">
    <w:name w:val="Table of Authorities"/>
    <w:basedOn w:val="Style27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2">
    <w:name w:val="Библиография 1"/>
    <w:basedOn w:val="Style23"/>
    <w:qFormat/>
    <w:pPr>
      <w:tabs>
        <w:tab w:val="clear" w:pos="709"/>
        <w:tab w:val="right" w:pos="9355" w:leader="dot"/>
      </w:tabs>
      <w:ind w:left="0" w:hanging="0"/>
    </w:pPr>
    <w:rPr/>
  </w:style>
  <w:style w:type="paragraph" w:styleId="Style32">
    <w:name w:val="Table of Authorities"/>
    <w:basedOn w:val="Style27"/>
    <w:pPr>
      <w:suppressLineNumbers/>
      <w:ind w:left="0" w:hanging="0"/>
    </w:pPr>
    <w:rPr>
      <w:b/>
      <w:bCs/>
      <w:sz w:val="32"/>
      <w:szCs w:val="32"/>
    </w:rPr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aperswithcode.com/paper/time-series-is-a-special-sequence-forecasting" TargetMode="External"/><Relationship Id="rId3" Type="http://schemas.openxmlformats.org/officeDocument/2006/relationships/hyperlink" Target="https://paperswithcode.com/paper/time-series-is-a-special-sequence-forecasting" TargetMode="External"/><Relationship Id="rId4" Type="http://schemas.openxmlformats.org/officeDocument/2006/relationships/hyperlink" Target="https://paperswithcode.com/paper/time-series-is-a-special-sequence-forecasting" TargetMode="External"/><Relationship Id="rId5" Type="http://schemas.openxmlformats.org/officeDocument/2006/relationships/hyperlink" Target="https://paperswithcode.com/paper/time-series-is-a-special-sequence-forecasting" TargetMode="External"/><Relationship Id="rId6" Type="http://schemas.openxmlformats.org/officeDocument/2006/relationships/hyperlink" Target="https://paperswithcode.com/paper/time-series-is-a-special-sequence-forecasting" TargetMode="External"/><Relationship Id="rId7" Type="http://schemas.openxmlformats.org/officeDocument/2006/relationships/hyperlink" Target="https://paperswithcode.com/paper/long-term-series-forecasting-with-query" TargetMode="External"/><Relationship Id="rId8" Type="http://schemas.openxmlformats.org/officeDocument/2006/relationships/hyperlink" Target="https://paperswithcode.com/paper/long-term-series-forecasting-with-query" TargetMode="External"/><Relationship Id="rId9" Type="http://schemas.openxmlformats.org/officeDocument/2006/relationships/hyperlink" Target="https://paperswithcode.com/paper/informer-beyond-efficient-transformer-for" TargetMode="External"/><Relationship Id="rId10" Type="http://schemas.openxmlformats.org/officeDocument/2006/relationships/hyperlink" Target="https://paperswithcode.com/paper/informer-beyond-efficient-transformer-for" TargetMode="External"/><Relationship Id="rId11" Type="http://schemas.openxmlformats.org/officeDocument/2006/relationships/hyperlink" Target="https://paperswithcode.com/paper/long-term-series-forecasting-with-query" TargetMode="External"/><Relationship Id="rId12" Type="http://schemas.openxmlformats.org/officeDocument/2006/relationships/hyperlink" Target="https://paperswithcode.com/paper/long-term-series-forecasting-with-query" TargetMode="External"/><Relationship Id="rId13" Type="http://schemas.openxmlformats.org/officeDocument/2006/relationships/hyperlink" Target="https://paperswithcode.com/paper/time-series-is-a-special-sequence-forecasting" TargetMode="External"/><Relationship Id="rId14" Type="http://schemas.openxmlformats.org/officeDocument/2006/relationships/hyperlink" Target="https://paperswithcode.com/paper/time-series-is-a-special-sequence-forecasting" TargetMode="External"/><Relationship Id="rId15" Type="http://schemas.openxmlformats.org/officeDocument/2006/relationships/hyperlink" Target="https://paperswithcode.com/paper/time-series-is-a-special-sequence-forecasting" TargetMode="External"/><Relationship Id="rId16" Type="http://schemas.openxmlformats.org/officeDocument/2006/relationships/hyperlink" Target="https://paperswithcode.com/paper/time-series-is-a-special-sequence-forecasting" TargetMode="External"/><Relationship Id="rId17" Type="http://schemas.openxmlformats.org/officeDocument/2006/relationships/hyperlink" Target="https://paperswithcode.com/paper/time-series-is-a-special-sequence-forecasting" TargetMode="External"/><Relationship Id="rId18" Type="http://schemas.openxmlformats.org/officeDocument/2006/relationships/image" Target="media/image1.png"/><Relationship Id="rId19" Type="http://schemas.openxmlformats.org/officeDocument/2006/relationships/image" Target="media/image1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7.png"/><Relationship Id="rId28" Type="http://schemas.openxmlformats.org/officeDocument/2006/relationships/hyperlink" Target="https://github.com/ksetdekov/ts_transformers" TargetMode="External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otnotes" Target="footnotes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paperswithcode.com/sota/time-series-forecasting-on-etth2-720" TargetMode="External"/><Relationship Id="rId2" Type="http://schemas.openxmlformats.org/officeDocument/2006/relationships/hyperlink" Target="https://github.com/zhouhaoyi/Informer2020" TargetMode="External"/><Relationship Id="rId3" Type="http://schemas.openxmlformats.org/officeDocument/2006/relationships/hyperlink" Target="https://www.comp-engine.org/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Application>LibreOffice/7.2.4.1$Windows_X86_64 LibreOffice_project/27d75539669ac387bb498e35313b970b7fe9c4f9</Application>
  <AppVersion>15.0000</AppVersion>
  <Pages>21</Pages>
  <Words>2858</Words>
  <Characters>18947</Characters>
  <CharactersWithSpaces>21528</CharactersWithSpaces>
  <Paragraphs>282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2021-10-31T13:28:00Z</dcterms:created>
  <dc:creator/>
  <dc:description/>
  <dc:language>ru-RU</dc:language>
  <cp:lastModifiedBy/>
  <dcterms:modified xsi:type="dcterms:W3CDTF">2021-12-14T11:10:44Z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