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IFRS 17 market practice comparison Hong Kong Singapore and Canada</w:t>
      </w:r>
    </w:p>
    <w:p>
      <w:r>
        <w:rPr>
          <w:b/>
        </w:rPr>
        <w:t>Evidence review date: 30 October 2026. Reporting basis: principally FY2025, with explicitly labelled FY2023 Singapore survey evidence.</w:t>
      </w:r>
    </w:p>
    <w:p>
      <w:pPr>
        <w:pStyle w:val="Heading1"/>
      </w:pPr>
      <w:r>
        <w:t>Executive assessment</w:t>
      </w:r>
    </w:p>
    <w:p>
      <w:r>
        <w:t>Public disclosures support a comparison of named insurers and methodologies, rather than a single prescribed IFRS 17 ILP for each market. The most useful distinctions are the construction of the discount curve, the removal of credit risk, the treatment of liability liquidity, the calibration horizon, and the scope of the reporting entity.</w:t>
      </w:r>
    </w:p>
    <w:p>
      <w:pPr>
        <w:pStyle w:val="ListBullet"/>
      </w:pPr>
      <w:r>
        <w:rPr>
          <w:b/>
        </w:rPr>
        <w:t>Hong Kong:</w:t>
      </w:r>
      <w:r>
        <w:t xml:space="preserve"> AIA Group provides unusually useful currency-level numerical disclosures: its 2025 HKD 10-year risk-free rate is 3.10% and the rate including ILP is 3.91%, implying </w:t>
      </w:r>
      <w:r>
        <w:rPr>
          <w:b/>
        </w:rPr>
        <w:t>81 bps ILP</w:t>
      </w:r>
      <w:r>
        <w:t>. This is a Group HKD curve, not a verified rate for every Hong Kong product. Its principal method is top-down. [A1, printed p.173 / PDF p.179]</w:t>
      </w:r>
    </w:p>
    <w:p>
      <w:pPr>
        <w:pStyle w:val="ListBullet"/>
      </w:pPr>
      <w:r>
        <w:rPr>
          <w:b/>
        </w:rPr>
        <w:t>Singapore:</w:t>
      </w:r>
      <w:r>
        <w:t xml:space="preserve"> Great Eastern Holdings provides a practical bottom-up example, including product scoring, liquidity buckets/application ratios and credit-risk-adjusted reference-asset spreads. Its 2025 policy says market-observable ILP is calculated </w:t>
      </w:r>
      <w:r>
        <w:rPr>
          <w:b/>
        </w:rPr>
        <w:t>at every month-end</w:t>
      </w:r>
      <w:r>
        <w:t xml:space="preserve">. AIA Group's SGD 10-year disclosure implies </w:t>
      </w:r>
      <w:r>
        <w:rPr>
          <w:b/>
        </w:rPr>
        <w:t>64 bps ILP</w:t>
      </w:r>
      <w:r>
        <w:t>. These are separate insurer examples, not interchangeable market benchmarks. [A2, printed p.138 / PDF p.140; A1, printed p.173 / PDF p.179]</w:t>
      </w:r>
    </w:p>
    <w:p>
      <w:pPr>
        <w:pStyle w:val="ListBullet"/>
      </w:pPr>
      <w:r>
        <w:rPr>
          <w:b/>
        </w:rPr>
        <w:t>Canada:</w:t>
      </w:r>
      <w:r>
        <w:t xml:space="preserve"> The CIA supplies a structured reference methodology, while actual insurer assumptions remain entity-specific. Sun Life discloses removal of both expected and unexpected credit losses; Manulife and Sun Life disclose different RA confidence-level ranges. [A5, pp.26, 35–40; A4, printed pp.69–70 / PDF pp.194–195; A3, printed p.218 / PDF p.220]</w:t>
      </w:r>
    </w:p>
    <w:p>
      <w:r>
        <w:rPr>
          <w:b/>
        </w:rPr>
        <w:t>Decision-useful conclusion:</w:t>
      </w:r>
      <w:r>
        <w:t xml:space="preserve"> benchmark the internal reinvestment spread and the resulting liability ILP separately. A historical credit-spread percentile, an assumed future asset spread and a final liability discount-rate adjustment are different quantities. Public evidence reviewed here does not establish a common three-market historical averaging window or a universal P10 floor.</w:t>
      </w:r>
    </w:p>
    <w:p>
      <w:pPr>
        <w:pStyle w:val="Heading1"/>
        <w:pageBreakBefore/>
      </w:pPr>
      <w:r>
        <w:t>1 Comparison by component</w:t>
      </w:r>
    </w:p>
    <w:tbl>
      <w:tblPr>
        <w:tblW w:type="auto" w:w="0"/>
        <w:jc w:val="center"/>
        <w:tblLayout w:type="fixed"/>
        <w:tblLook w:firstColumn="1" w:firstRow="1" w:lastColumn="0" w:lastRow="0" w:noHBand="0" w:noVBand="1" w:val="04A0"/>
      </w:tblPr>
      <w:tblGrid>
        <w:gridCol w:w="1511"/>
        <w:gridCol w:w="3237"/>
        <w:gridCol w:w="3237"/>
        <w:gridCol w:w="3453"/>
        <w:gridCol w:w="3381"/>
      </w:tblGrid>
      <w:tr>
        <w:trPr>
          <w:cantSplit/>
          <w:tblHeader/>
        </w:trPr>
        <w:tc>
          <w:tcPr>
            <w:tcW w:type="dxa" w:w="1511"/>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Component</w:t>
            </w:r>
          </w:p>
        </w:tc>
        <w:tc>
          <w:tcPr>
            <w:tcW w:type="dxa" w:w="3237"/>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Hong Kong-related evidence</w:t>
            </w:r>
          </w:p>
        </w:tc>
        <w:tc>
          <w:tcPr>
            <w:tcW w:type="dxa" w:w="3237"/>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Singapore-related evidence</w:t>
            </w:r>
          </w:p>
        </w:tc>
        <w:tc>
          <w:tcPr>
            <w:tcW w:type="dxa" w:w="3453"/>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Canadian evidence</w:t>
            </w:r>
          </w:p>
        </w:tc>
        <w:tc>
          <w:tcPr>
            <w:tcW w:type="dxa" w:w="3381"/>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Interpretation for the internal comparison</w:t>
            </w:r>
          </w:p>
        </w:tc>
      </w:tr>
      <w:tr>
        <w:trPr>
          <w:cantSplit/>
        </w:trPr>
        <w:tc>
          <w:tcPr>
            <w:tcW w:type="dxa" w:w="151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Discount rate</w:t>
            </w:r>
          </w:p>
        </w:tc>
        <w:tc>
          <w:tcPr>
            <w:tcW w:type="dxa" w:w="323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AIA Group primarily uses top-down, with HKD curves disclosed. [A1 p.173/PDF179]</w:t>
            </w:r>
          </w:p>
        </w:tc>
        <w:tc>
          <w:tcPr>
            <w:tcW w:type="dxa" w:w="323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GEH Group uses bottom-up; Singapore RF/UFR references MAS RBC2 and IAIS ICS. [A2 p.138/PDF140]</w:t>
            </w:r>
          </w:p>
        </w:tc>
        <w:tc>
          <w:tcPr>
            <w:tcW w:type="dxa" w:w="3453"/>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Manulife and Sun Life describe RF plus liquidity adjustments for relevant business. Participating business can require a different treatment. [A3 pp.217–218/PDF219–220; A4 p.69/PDF194]</w:t>
            </w:r>
          </w:p>
        </w:tc>
        <w:tc>
          <w:tcPr>
            <w:tcW w:type="dxa" w:w="338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Record method, entity, product scope, currency, date and tenor. A currency disclosure does not establish a jurisdiction-wide method.</w:t>
            </w:r>
          </w:p>
        </w:tc>
      </w:tr>
      <w:tr>
        <w:trPr>
          <w:cantSplit/>
        </w:trPr>
        <w:tc>
          <w:tcPr>
            <w:tcW w:type="dxa" w:w="151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ILP</w:t>
            </w:r>
          </w:p>
        </w:tc>
        <w:tc>
          <w:tcPr>
            <w:tcW w:type="dxa" w:w="323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AIA HKD derived ILP is 50–85 bps across the five disclosed 2025 tenors. [A1 p.173/PDF179; calculation below]</w:t>
            </w:r>
          </w:p>
        </w:tc>
        <w:tc>
          <w:tcPr>
            <w:tcW w:type="dxa" w:w="323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AIA SGD derived ILP is 61–90 bps; GEH assigns liquidity buckets/application ratios based on product characteristics. [A1; A2 p.138/PDF140]</w:t>
            </w:r>
          </w:p>
        </w:tc>
        <w:tc>
          <w:tcPr>
            <w:tcW w:type="dxa" w:w="3453"/>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CIA differentiates liquid, intermediate and illiquid liabilities. Insurer total discount curves are not standalone ILP disclosures. [A5 pp.35–37; A3 p.218/PDF220]</w:t>
            </w:r>
          </w:p>
        </w:tc>
        <w:tc>
          <w:tcPr>
            <w:tcW w:type="dxa" w:w="338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Compare liability liquidity and application ratio before comparing bps.</w:t>
            </w:r>
          </w:p>
        </w:tc>
      </w:tr>
      <w:tr>
        <w:trPr>
          <w:cantSplit/>
        </w:trPr>
        <w:tc>
          <w:tcPr>
            <w:tcW w:type="dxa" w:w="151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Credit spread component</w:t>
            </w:r>
          </w:p>
        </w:tc>
        <w:tc>
          <w:tcPr>
            <w:tcW w:type="dxa" w:w="323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AIA removes irrelevant risks, principally credit risk, from reference-portfolio yields. [A1 p.173/PDF179]</w:t>
            </w:r>
          </w:p>
        </w:tc>
        <w:tc>
          <w:tcPr>
            <w:tcW w:type="dxa" w:w="323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GEH starts its observable ILP calculation from currency-specific reference-asset spreads adjusted for credit risk. [A2 p.138/PDF140]</w:t>
            </w:r>
          </w:p>
        </w:tc>
        <w:tc>
          <w:tcPr>
            <w:tcW w:type="dxa" w:w="3453"/>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Sun Life explicitly removes expected and unexpected credit losses, reflecting asset type, quality and duration. [A4 p.69/PDF194]</w:t>
            </w:r>
          </w:p>
        </w:tc>
        <w:tc>
          <w:tcPr>
            <w:tcW w:type="dxa" w:w="338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Distinguish gross asset spread, credit deduction, remaining liquidity compensation and final applied ILP.</w:t>
            </w:r>
          </w:p>
        </w:tc>
      </w:tr>
      <w:tr>
        <w:trPr>
          <w:cantSplit/>
        </w:trPr>
        <w:tc>
          <w:tcPr>
            <w:tcW w:type="dxa" w:w="151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Lapse</w:t>
            </w:r>
          </w:p>
        </w:tc>
        <w:tc>
          <w:tcPr>
            <w:tcW w:type="dxa" w:w="323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AIA Group publishes lapse sensitivity, but this is not a Hong Kong product lapse table. [A1 p.185/PDF191]</w:t>
            </w:r>
          </w:p>
        </w:tc>
        <w:tc>
          <w:tcPr>
            <w:tcW w:type="dxa" w:w="323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GEH uses credible own experience, with similar-product experience where needed; assumptions vary by product and policy year. [A2 p.139/PDF141]</w:t>
            </w:r>
          </w:p>
        </w:tc>
        <w:tc>
          <w:tcPr>
            <w:tcW w:type="dxa" w:w="3453"/>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Sun Life generally uses five-year average own experience; Manulife uses recent own experience adjusted for expected future conditions. [A4 p.69/PDF194; A3 p.216/PDF218]</w:t>
            </w:r>
          </w:p>
        </w:tc>
        <w:tc>
          <w:tcPr>
            <w:tcW w:type="dxa" w:w="338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An actual experience-study period is useful benchmarking evidence. A sensitivity shock is not the underlying lapse assumption.</w:t>
            </w:r>
          </w:p>
        </w:tc>
      </w:tr>
      <w:tr>
        <w:trPr>
          <w:cantSplit/>
        </w:trPr>
        <w:tc>
          <w:tcPr>
            <w:tcW w:type="dxa" w:w="151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Risk adjustment</w:t>
            </w:r>
          </w:p>
        </w:tc>
        <w:tc>
          <w:tcPr>
            <w:tcW w:type="dxa" w:w="323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AIA Group uses a confidence-level technique at the 75th percentile. [A1 p.174/PDF180]</w:t>
            </w:r>
          </w:p>
        </w:tc>
        <w:tc>
          <w:tcPr>
            <w:tcW w:type="dxa" w:w="323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GEH uses an 85th-percentile confidence-level technique. [A2 p.139/PDF141]</w:t>
            </w:r>
          </w:p>
        </w:tc>
        <w:tc>
          <w:tcPr>
            <w:tcW w:type="dxa" w:w="3453"/>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Manulife uses margins with 90–95% confidence level across segments; Sun Life uses margins with approximately 85–90%. [A3 p.218/PDF220; A4 p.70/PDF195]</w:t>
            </w:r>
          </w:p>
        </w:tc>
        <w:tc>
          <w:tcPr>
            <w:tcW w:type="dxa" w:w="338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Compare technique, time horizon, diversification and reinsurance basis alongside the percentile. Do not rank prudence from the percentile alone.</w:t>
            </w:r>
          </w:p>
        </w:tc>
      </w:tr>
    </w:tbl>
    <w:p>
      <w:pPr>
        <w:spacing w:after="20"/>
      </w:pPr>
    </w:p>
    <w:p>
      <w:pPr>
        <w:pStyle w:val="Heading1"/>
        <w:pageBreakBefore/>
      </w:pPr>
      <w:r>
        <w:t>2 Quantitative ILP evidence</w:t>
      </w:r>
    </w:p>
    <w:p>
      <w:pPr>
        <w:pStyle w:val="Heading2"/>
      </w:pPr>
      <w:r>
        <w:t>AIA Group directly calculable ILP</w:t>
      </w:r>
    </w:p>
    <w:p>
      <w:r>
        <w:rPr>
          <w:b/>
        </w:rPr>
        <w:t>Source:</w:t>
      </w:r>
      <w:r>
        <w:t xml:space="preserve"> FY2025 Annual Results Announcement, Note 24, printed p.173 / PDF p.179. The source publishes risk-free rates and rates including ILP, by currency. The ILP columns below are calculated, not separately quoted source entries.</w:t>
      </w:r>
    </w:p>
    <w:p>
      <w:r>
        <w:t xml:space="preserve">Formula: </w:t>
      </w:r>
      <w:r>
        <w:rPr>
          <w:b/>
        </w:rPr>
        <w:t>ILP (bps) = [rate including ILP (%) − risk-free rate (%)] × 100</w:t>
      </w:r>
      <w:r>
        <w:t>. Differences inherit the rounding of the published rates.</w:t>
      </w:r>
    </w:p>
    <w:tbl>
      <w:tblPr>
        <w:tblW w:type="auto" w:w="0"/>
        <w:jc w:val="center"/>
        <w:tblLayout w:type="fixed"/>
        <w:tblLook w:firstColumn="1" w:firstRow="1" w:lastColumn="0" w:lastRow="0" w:noHBand="0" w:noVBand="1" w:val="04A0"/>
      </w:tblPr>
      <w:tblGrid>
        <w:gridCol w:w="1395"/>
        <w:gridCol w:w="1569"/>
        <w:gridCol w:w="2964"/>
        <w:gridCol w:w="3312"/>
        <w:gridCol w:w="2789"/>
        <w:gridCol w:w="2789"/>
      </w:tblGrid>
      <w:tr>
        <w:trPr>
          <w:cantSplit/>
          <w:tblHeader/>
        </w:trPr>
        <w:tc>
          <w:tcPr>
            <w:tcW w:type="dxa" w:w="1395"/>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Currency</w:t>
            </w:r>
          </w:p>
        </w:tc>
        <w:tc>
          <w:tcPr>
            <w:tcW w:type="dxa" w:w="1569"/>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Tenor</w:t>
            </w:r>
          </w:p>
        </w:tc>
        <w:tc>
          <w:tcPr>
            <w:tcW w:type="dxa" w:w="296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2025 risk-free rate</w:t>
            </w:r>
          </w:p>
        </w:tc>
        <w:tc>
          <w:tcPr>
            <w:tcW w:type="dxa" w:w="3312"/>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2025 rate including ILP</w:t>
            </w:r>
          </w:p>
        </w:tc>
        <w:tc>
          <w:tcPr>
            <w:tcW w:type="dxa" w:w="2789"/>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Calculated 2025 ILP</w:t>
            </w:r>
          </w:p>
        </w:tc>
        <w:tc>
          <w:tcPr>
            <w:tcW w:type="dxa" w:w="2789"/>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Calculated 2024 ILP</w:t>
            </w:r>
          </w:p>
        </w:tc>
      </w:tr>
      <w:tr>
        <w:trPr>
          <w:cantSplit/>
        </w:trPr>
        <w:tc>
          <w:tcPr>
            <w:tcW w:type="dxa" w:w="13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HKD</w:t>
            </w:r>
          </w:p>
        </w:tc>
        <w:tc>
          <w:tcPr>
            <w:tcW w:type="dxa" w:w="156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 year</w:t>
            </w:r>
          </w:p>
        </w:tc>
        <w:tc>
          <w:tcPr>
            <w:tcW w:type="dxa" w:w="296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2.63%</w:t>
            </w:r>
          </w:p>
        </w:tc>
        <w:tc>
          <w:tcPr>
            <w:tcW w:type="dxa" w:w="331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3.13%</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50 bps</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60 bps</w:t>
            </w:r>
          </w:p>
        </w:tc>
      </w:tr>
      <w:tr>
        <w:trPr>
          <w:cantSplit/>
        </w:trPr>
        <w:tc>
          <w:tcPr>
            <w:tcW w:type="dxa" w:w="13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HKD</w:t>
            </w:r>
          </w:p>
        </w:tc>
        <w:tc>
          <w:tcPr>
            <w:tcW w:type="dxa" w:w="156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 years</w:t>
            </w:r>
          </w:p>
        </w:tc>
        <w:tc>
          <w:tcPr>
            <w:tcW w:type="dxa" w:w="296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2.72%</w:t>
            </w:r>
          </w:p>
        </w:tc>
        <w:tc>
          <w:tcPr>
            <w:tcW w:type="dxa" w:w="331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3.35%</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63 bps</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61 bps</w:t>
            </w:r>
          </w:p>
        </w:tc>
      </w:tr>
      <w:tr>
        <w:trPr>
          <w:cantSplit/>
        </w:trPr>
        <w:tc>
          <w:tcPr>
            <w:tcW w:type="dxa" w:w="13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HKD</w:t>
            </w:r>
          </w:p>
        </w:tc>
        <w:tc>
          <w:tcPr>
            <w:tcW w:type="dxa" w:w="156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 years</w:t>
            </w:r>
          </w:p>
        </w:tc>
        <w:tc>
          <w:tcPr>
            <w:tcW w:type="dxa" w:w="296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3.10%</w:t>
            </w:r>
          </w:p>
        </w:tc>
        <w:tc>
          <w:tcPr>
            <w:tcW w:type="dxa" w:w="331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3.91%</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81 bps</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84 bps</w:t>
            </w:r>
          </w:p>
        </w:tc>
      </w:tr>
      <w:tr>
        <w:trPr>
          <w:cantSplit/>
        </w:trPr>
        <w:tc>
          <w:tcPr>
            <w:tcW w:type="dxa" w:w="13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HKD</w:t>
            </w:r>
          </w:p>
        </w:tc>
        <w:tc>
          <w:tcPr>
            <w:tcW w:type="dxa" w:w="156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15 years</w:t>
            </w:r>
          </w:p>
        </w:tc>
        <w:tc>
          <w:tcPr>
            <w:tcW w:type="dxa" w:w="296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3.33%</w:t>
            </w:r>
          </w:p>
        </w:tc>
        <w:tc>
          <w:tcPr>
            <w:tcW w:type="dxa" w:w="331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4.18%</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85 bps</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87 bps</w:t>
            </w:r>
          </w:p>
        </w:tc>
      </w:tr>
      <w:tr>
        <w:trPr>
          <w:cantSplit/>
        </w:trPr>
        <w:tc>
          <w:tcPr>
            <w:tcW w:type="dxa" w:w="13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HKD</w:t>
            </w:r>
          </w:p>
        </w:tc>
        <w:tc>
          <w:tcPr>
            <w:tcW w:type="dxa" w:w="156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20 years</w:t>
            </w:r>
          </w:p>
        </w:tc>
        <w:tc>
          <w:tcPr>
            <w:tcW w:type="dxa" w:w="296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3.64%</w:t>
            </w:r>
          </w:p>
        </w:tc>
        <w:tc>
          <w:tcPr>
            <w:tcW w:type="dxa" w:w="331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4.44%</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80 bps</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85 bps</w:t>
            </w:r>
          </w:p>
        </w:tc>
      </w:tr>
      <w:tr>
        <w:trPr>
          <w:cantSplit/>
        </w:trPr>
        <w:tc>
          <w:tcPr>
            <w:tcW w:type="dxa" w:w="13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SGD</w:t>
            </w:r>
          </w:p>
        </w:tc>
        <w:tc>
          <w:tcPr>
            <w:tcW w:type="dxa" w:w="156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 year</w:t>
            </w:r>
          </w:p>
        </w:tc>
        <w:tc>
          <w:tcPr>
            <w:tcW w:type="dxa" w:w="296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1.37%</w:t>
            </w:r>
          </w:p>
        </w:tc>
        <w:tc>
          <w:tcPr>
            <w:tcW w:type="dxa" w:w="331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2.13%</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76 bps</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65 bps</w:t>
            </w:r>
          </w:p>
        </w:tc>
      </w:tr>
      <w:tr>
        <w:trPr>
          <w:cantSplit/>
        </w:trPr>
        <w:tc>
          <w:tcPr>
            <w:tcW w:type="dxa" w:w="13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SGD</w:t>
            </w:r>
          </w:p>
        </w:tc>
        <w:tc>
          <w:tcPr>
            <w:tcW w:type="dxa" w:w="156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 years</w:t>
            </w:r>
          </w:p>
        </w:tc>
        <w:tc>
          <w:tcPr>
            <w:tcW w:type="dxa" w:w="296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1.89%</w:t>
            </w:r>
          </w:p>
        </w:tc>
        <w:tc>
          <w:tcPr>
            <w:tcW w:type="dxa" w:w="331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2.79%</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90 bps</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97 bps</w:t>
            </w:r>
          </w:p>
        </w:tc>
      </w:tr>
      <w:tr>
        <w:trPr>
          <w:cantSplit/>
        </w:trPr>
        <w:tc>
          <w:tcPr>
            <w:tcW w:type="dxa" w:w="13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SGD</w:t>
            </w:r>
          </w:p>
        </w:tc>
        <w:tc>
          <w:tcPr>
            <w:tcW w:type="dxa" w:w="156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 years</w:t>
            </w:r>
          </w:p>
        </w:tc>
        <w:tc>
          <w:tcPr>
            <w:tcW w:type="dxa" w:w="296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2.18%</w:t>
            </w:r>
          </w:p>
        </w:tc>
        <w:tc>
          <w:tcPr>
            <w:tcW w:type="dxa" w:w="331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2.82%</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64 bps</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52 bps</w:t>
            </w:r>
          </w:p>
        </w:tc>
      </w:tr>
      <w:tr>
        <w:trPr>
          <w:cantSplit/>
        </w:trPr>
        <w:tc>
          <w:tcPr>
            <w:tcW w:type="dxa" w:w="13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SGD</w:t>
            </w:r>
          </w:p>
        </w:tc>
        <w:tc>
          <w:tcPr>
            <w:tcW w:type="dxa" w:w="156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15 years</w:t>
            </w:r>
          </w:p>
        </w:tc>
        <w:tc>
          <w:tcPr>
            <w:tcW w:type="dxa" w:w="296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2.25%</w:t>
            </w:r>
          </w:p>
        </w:tc>
        <w:tc>
          <w:tcPr>
            <w:tcW w:type="dxa" w:w="331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2.86%</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61 bps</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43 bps</w:t>
            </w:r>
          </w:p>
        </w:tc>
      </w:tr>
      <w:tr>
        <w:trPr>
          <w:cantSplit/>
        </w:trPr>
        <w:tc>
          <w:tcPr>
            <w:tcW w:type="dxa" w:w="13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SGD</w:t>
            </w:r>
          </w:p>
        </w:tc>
        <w:tc>
          <w:tcPr>
            <w:tcW w:type="dxa" w:w="156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20 years</w:t>
            </w:r>
          </w:p>
        </w:tc>
        <w:tc>
          <w:tcPr>
            <w:tcW w:type="dxa" w:w="296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2.21%</w:t>
            </w:r>
          </w:p>
        </w:tc>
        <w:tc>
          <w:tcPr>
            <w:tcW w:type="dxa" w:w="331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2.88%</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67 bps</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47 bps</w:t>
            </w:r>
          </w:p>
        </w:tc>
      </w:tr>
      <w:tr>
        <w:trPr>
          <w:cantSplit/>
        </w:trPr>
        <w:tc>
          <w:tcPr>
            <w:tcW w:type="dxa" w:w="13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USD</w:t>
            </w:r>
          </w:p>
        </w:tc>
        <w:tc>
          <w:tcPr>
            <w:tcW w:type="dxa" w:w="156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 year</w:t>
            </w:r>
          </w:p>
        </w:tc>
        <w:tc>
          <w:tcPr>
            <w:tcW w:type="dxa" w:w="296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3.43%</w:t>
            </w:r>
          </w:p>
        </w:tc>
        <w:tc>
          <w:tcPr>
            <w:tcW w:type="dxa" w:w="331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3.93%</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50 bps</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w:t>
            </w:r>
          </w:p>
        </w:tc>
      </w:tr>
      <w:tr>
        <w:trPr>
          <w:cantSplit/>
        </w:trPr>
        <w:tc>
          <w:tcPr>
            <w:tcW w:type="dxa" w:w="13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USD</w:t>
            </w:r>
          </w:p>
        </w:tc>
        <w:tc>
          <w:tcPr>
            <w:tcW w:type="dxa" w:w="156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 years</w:t>
            </w:r>
          </w:p>
        </w:tc>
        <w:tc>
          <w:tcPr>
            <w:tcW w:type="dxa" w:w="296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3.65%</w:t>
            </w:r>
          </w:p>
        </w:tc>
        <w:tc>
          <w:tcPr>
            <w:tcW w:type="dxa" w:w="331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4.28%</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63 bps</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w:t>
            </w:r>
          </w:p>
        </w:tc>
      </w:tr>
      <w:tr>
        <w:trPr>
          <w:cantSplit/>
        </w:trPr>
        <w:tc>
          <w:tcPr>
            <w:tcW w:type="dxa" w:w="13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USD</w:t>
            </w:r>
          </w:p>
        </w:tc>
        <w:tc>
          <w:tcPr>
            <w:tcW w:type="dxa" w:w="156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 years</w:t>
            </w:r>
          </w:p>
        </w:tc>
        <w:tc>
          <w:tcPr>
            <w:tcW w:type="dxa" w:w="296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4.15%</w:t>
            </w:r>
          </w:p>
        </w:tc>
        <w:tc>
          <w:tcPr>
            <w:tcW w:type="dxa" w:w="331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4.97%</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82 bps</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w:t>
            </w:r>
          </w:p>
        </w:tc>
      </w:tr>
      <w:tr>
        <w:trPr>
          <w:cantSplit/>
        </w:trPr>
        <w:tc>
          <w:tcPr>
            <w:tcW w:type="dxa" w:w="13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USD</w:t>
            </w:r>
          </w:p>
        </w:tc>
        <w:tc>
          <w:tcPr>
            <w:tcW w:type="dxa" w:w="156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15 years</w:t>
            </w:r>
          </w:p>
        </w:tc>
        <w:tc>
          <w:tcPr>
            <w:tcW w:type="dxa" w:w="296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4.62%</w:t>
            </w:r>
          </w:p>
        </w:tc>
        <w:tc>
          <w:tcPr>
            <w:tcW w:type="dxa" w:w="331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5.46%</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84 bps</w:t>
            </w:r>
          </w:p>
        </w:tc>
        <w:tc>
          <w:tcPr>
            <w:tcW w:type="dxa" w:w="278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w:t>
            </w:r>
          </w:p>
        </w:tc>
      </w:tr>
      <w:tr>
        <w:trPr>
          <w:cantSplit/>
        </w:trPr>
        <w:tc>
          <w:tcPr>
            <w:tcW w:type="dxa" w:w="13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USD</w:t>
            </w:r>
          </w:p>
        </w:tc>
        <w:tc>
          <w:tcPr>
            <w:tcW w:type="dxa" w:w="156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20 years</w:t>
            </w:r>
          </w:p>
        </w:tc>
        <w:tc>
          <w:tcPr>
            <w:tcW w:type="dxa" w:w="296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4.93%</w:t>
            </w:r>
          </w:p>
        </w:tc>
        <w:tc>
          <w:tcPr>
            <w:tcW w:type="dxa" w:w="331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5.72%</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79 bps</w:t>
            </w:r>
          </w:p>
        </w:tc>
        <w:tc>
          <w:tcPr>
            <w:tcW w:type="dxa" w:w="278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w:t>
            </w:r>
          </w:p>
        </w:tc>
      </w:tr>
    </w:tbl>
    <w:p>
      <w:pPr>
        <w:spacing w:after="20"/>
      </w:pPr>
    </w:p>
    <w:p>
      <w:r>
        <w:t>The 10-year HKD adjustment decreases by 3 bps year on year, while SGD increases by 12 bps. This illustrates why a single cross-currency “market ILP” is inappropriate. USD curves are relevant to USD liabilities across markets and should not automatically be assigned to the US or Canada.</w:t>
      </w:r>
    </w:p>
    <w:p>
      <w:r>
        <w:t>AIA's reference portfolio is selected for similar characteristics; the adjustment removes risks not relevant to insurance contracts. Curves use observable information to the last reliable market point and extrapolate towards an ultimate forward rate, for example using Smith-Wilson. [A1, same page]</w:t>
      </w:r>
    </w:p>
    <w:p>
      <w:pPr>
        <w:pStyle w:val="Heading2"/>
      </w:pPr>
      <w:r>
        <w:t>Great Eastern a useful calibration process comparator</w:t>
      </w:r>
    </w:p>
    <w:p>
      <w:r>
        <w:t>The 2025 disclosure describes the following sequence: relevant-currency government risk-free curve; reference-asset market spread adjusted for credit risk; product liquidity assessment using an objective scoring system; allocation to a liquidity bucket/application ratio; application of the corresponding ILP. Observable ILP is calculated at each month-end. [A2, Note 2.26(a), printed p.138 / PDF p.140]</w:t>
      </w:r>
    </w:p>
    <w:tbl>
      <w:tblPr>
        <w:tblW w:type="auto" w:w="0"/>
        <w:jc w:val="center"/>
        <w:tblLayout w:type="fixed"/>
        <w:tblLook w:firstColumn="1" w:firstRow="1" w:lastColumn="0" w:lastRow="0" w:noHBand="0" w:noVBand="1" w:val="04A0"/>
      </w:tblPr>
      <w:tblGrid>
        <w:gridCol w:w="3704"/>
        <w:gridCol w:w="11113"/>
      </w:tblGrid>
      <w:tr>
        <w:trPr>
          <w:cantSplit/>
          <w:tblHeader/>
        </w:trPr>
        <w:tc>
          <w:tcPr>
            <w:tcW w:type="dxa" w:w="370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SGD tenor</w:t>
            </w:r>
          </w:p>
        </w:tc>
        <w:tc>
          <w:tcPr>
            <w:tcW w:type="dxa" w:w="11113"/>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GEH 2025 published total discount-rate range</w:t>
            </w:r>
          </w:p>
        </w:tc>
      </w:tr>
      <w:tr>
        <w:trPr>
          <w:cantSplit/>
        </w:trPr>
        <w:tc>
          <w:tcPr>
            <w:tcW w:type="dxa" w:w="370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 year</w:t>
            </w:r>
          </w:p>
        </w:tc>
        <w:tc>
          <w:tcPr>
            <w:tcW w:type="dxa" w:w="11113"/>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1.41–1.87%</w:t>
            </w:r>
          </w:p>
        </w:tc>
      </w:tr>
      <w:tr>
        <w:trPr>
          <w:cantSplit/>
        </w:trPr>
        <w:tc>
          <w:tcPr>
            <w:tcW w:type="dxa" w:w="370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 years</w:t>
            </w:r>
          </w:p>
        </w:tc>
        <w:tc>
          <w:tcPr>
            <w:tcW w:type="dxa" w:w="11113"/>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1.89–2.36%</w:t>
            </w:r>
          </w:p>
        </w:tc>
      </w:tr>
      <w:tr>
        <w:trPr>
          <w:cantSplit/>
        </w:trPr>
        <w:tc>
          <w:tcPr>
            <w:tcW w:type="dxa" w:w="370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 years</w:t>
            </w:r>
          </w:p>
        </w:tc>
        <w:tc>
          <w:tcPr>
            <w:tcW w:type="dxa" w:w="11113"/>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2.16–2.44%</w:t>
            </w:r>
          </w:p>
        </w:tc>
      </w:tr>
      <w:tr>
        <w:trPr>
          <w:cantSplit/>
        </w:trPr>
        <w:tc>
          <w:tcPr>
            <w:tcW w:type="dxa" w:w="370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15 years</w:t>
            </w:r>
          </w:p>
        </w:tc>
        <w:tc>
          <w:tcPr>
            <w:tcW w:type="dxa" w:w="11113"/>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2.23–2.79%</w:t>
            </w:r>
          </w:p>
        </w:tc>
      </w:tr>
      <w:tr>
        <w:trPr>
          <w:cantSplit/>
        </w:trPr>
        <w:tc>
          <w:tcPr>
            <w:tcW w:type="dxa" w:w="370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20 years</w:t>
            </w:r>
          </w:p>
        </w:tc>
        <w:tc>
          <w:tcPr>
            <w:tcW w:type="dxa" w:w="11113"/>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2.20–3.04%</w:t>
            </w:r>
          </w:p>
        </w:tc>
      </w:tr>
    </w:tbl>
    <w:p>
      <w:pPr>
        <w:spacing w:after="20"/>
      </w:pPr>
    </w:p>
    <w:p>
      <w:r>
        <w:t xml:space="preserve">These are </w:t>
      </w:r>
      <w:r>
        <w:rPr>
          <w:b/>
        </w:rPr>
        <w:t>total discount rates</w:t>
      </w:r>
      <w:r>
        <w:t>, not quoted ILP ranges. Their widths should not be labelled ILP without establishing that the endpoints use the same RF curve and the relevant zero/full-ILP application assumptions. The reference to RBC2/ICS relates to the disclosed RF/UFR design; it does not mean the entire IFRS 17 ILP calculation is prescribed by the capital framework.</w:t>
      </w:r>
    </w:p>
    <w:p>
      <w:pPr>
        <w:pStyle w:val="Heading2"/>
      </w:pPr>
      <w:r>
        <w:t>Canada CIA reference parameters and actual insurer curves</w:t>
      </w:r>
    </w:p>
    <w:p>
      <w:r>
        <w:t xml:space="preserve">The CIA educational note dated 26 August 2025 specifies parameters effective </w:t>
      </w:r>
      <w:r>
        <w:rPr>
          <w:b/>
        </w:rPr>
        <w:t>15 October 2025</w:t>
      </w:r>
      <w:r>
        <w:t>. They are a dated professional reference, not proof that all Canadian insurers apply identical rates or that the parameters remain unchanged in October 2026. [A5 pp.5–6, 35–40]</w:t>
      </w:r>
    </w:p>
    <w:tbl>
      <w:tblPr>
        <w:tblW w:type="auto" w:w="0"/>
        <w:jc w:val="center"/>
        <w:tblLayout w:type="fixed"/>
        <w:tblLook w:firstColumn="1" w:firstRow="1" w:lastColumn="0" w:lastRow="0" w:noHBand="0" w:noVBand="1" w:val="04A0"/>
      </w:tblPr>
      <w:tblGrid>
        <w:gridCol w:w="5762"/>
        <w:gridCol w:w="5214"/>
        <w:gridCol w:w="3842"/>
      </w:tblGrid>
      <w:tr>
        <w:trPr>
          <w:cantSplit/>
          <w:tblHeader/>
        </w:trPr>
        <w:tc>
          <w:tcPr>
            <w:tcW w:type="dxa" w:w="5762"/>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CIA reference element</w:t>
            </w:r>
          </w:p>
        </w:tc>
        <w:tc>
          <w:tcPr>
            <w:tcW w:type="dxa" w:w="521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Published parameter</w:t>
            </w:r>
          </w:p>
        </w:tc>
        <w:tc>
          <w:tcPr>
            <w:tcW w:type="dxa" w:w="3842"/>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Locator</w:t>
            </w:r>
          </w:p>
        </w:tc>
      </w:tr>
      <w:tr>
        <w:trPr>
          <w:cantSplit/>
        </w:trPr>
        <w:tc>
          <w:tcPr>
            <w:tcW w:type="dxa" w:w="576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Observable RF</w:t>
            </w:r>
          </w:p>
        </w:tc>
        <w:tc>
          <w:tcPr>
            <w:tcW w:type="dxa" w:w="521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Government of Canada curve; observable period to 30 years</w:t>
            </w:r>
          </w:p>
        </w:tc>
        <w:tc>
          <w:tcPr>
            <w:tcW w:type="dxa" w:w="384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pp.6, 36</w:t>
            </w:r>
          </w:p>
        </w:tc>
      </w:tr>
      <w:tr>
        <w:trPr>
          <w:cantSplit/>
        </w:trPr>
        <w:tc>
          <w:tcPr>
            <w:tcW w:type="dxa" w:w="576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Liquid reference ILP</w:t>
            </w:r>
          </w:p>
        </w:tc>
        <w:tc>
          <w:tcPr>
            <w:tcW w:type="dxa" w:w="521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90% of provincial bond spread</w:t>
            </w:r>
          </w:p>
        </w:tc>
        <w:tc>
          <w:tcPr>
            <w:tcW w:type="dxa" w:w="384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p.36</w:t>
            </w:r>
          </w:p>
        </w:tc>
      </w:tr>
      <w:tr>
        <w:trPr>
          <w:cantSplit/>
        </w:trPr>
        <w:tc>
          <w:tcPr>
            <w:tcW w:type="dxa" w:w="576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Illiquid reference ILP</w:t>
            </w:r>
          </w:p>
        </w:tc>
        <w:tc>
          <w:tcPr>
            <w:tcW w:type="dxa" w:w="521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50 bps + X × Canadian investment-grade corporate bond spread</w:t>
            </w:r>
          </w:p>
        </w:tc>
        <w:tc>
          <w:tcPr>
            <w:tcW w:type="dxa" w:w="384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p.36</w:t>
            </w:r>
          </w:p>
        </w:tc>
      </w:tr>
      <w:tr>
        <w:trPr>
          <w:cantSplit/>
        </w:trPr>
        <w:tc>
          <w:tcPr>
            <w:tcW w:type="dxa" w:w="576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X</w:t>
            </w:r>
          </w:p>
        </w:tc>
        <w:tc>
          <w:tcPr>
            <w:tcW w:type="dxa" w:w="521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80% for tenors 1–3 years; 75% at year 4; 70% from year 5</w:t>
            </w:r>
          </w:p>
        </w:tc>
        <w:tc>
          <w:tcPr>
            <w:tcW w:type="dxa" w:w="384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p.36</w:t>
            </w:r>
          </w:p>
        </w:tc>
      </w:tr>
      <w:tr>
        <w:trPr>
          <w:cantSplit/>
        </w:trPr>
        <w:tc>
          <w:tcPr>
            <w:tcW w:type="dxa" w:w="576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Ultimate RF</w:t>
            </w:r>
          </w:p>
        </w:tc>
        <w:tc>
          <w:tcPr>
            <w:tcW w:type="dxa" w:w="521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3.65%</w:t>
            </w:r>
          </w:p>
        </w:tc>
        <w:tc>
          <w:tcPr>
            <w:tcW w:type="dxa" w:w="384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p.36</w:t>
            </w:r>
          </w:p>
        </w:tc>
      </w:tr>
      <w:tr>
        <w:trPr>
          <w:cantSplit/>
        </w:trPr>
        <w:tc>
          <w:tcPr>
            <w:tcW w:type="dxa" w:w="576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Ultimate liquid / illiquid ILP</w:t>
            </w:r>
          </w:p>
        </w:tc>
        <w:tc>
          <w:tcPr>
            <w:tcW w:type="dxa" w:w="521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0.70% / 1.50%</w:t>
            </w:r>
          </w:p>
        </w:tc>
        <w:tc>
          <w:tcPr>
            <w:tcW w:type="dxa" w:w="384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p.36</w:t>
            </w:r>
          </w:p>
        </w:tc>
      </w:tr>
      <w:tr>
        <w:trPr>
          <w:cantSplit/>
        </w:trPr>
        <w:tc>
          <w:tcPr>
            <w:tcW w:type="dxa" w:w="576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Unobservable period</w:t>
            </w:r>
          </w:p>
        </w:tc>
        <w:tc>
          <w:tcPr>
            <w:tcW w:type="dxa" w:w="521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Linear interpolation towards ultimate parameters at year 70</w:t>
            </w:r>
          </w:p>
        </w:tc>
        <w:tc>
          <w:tcPr>
            <w:tcW w:type="dxa" w:w="384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pp.36–37</w:t>
            </w:r>
          </w:p>
        </w:tc>
      </w:tr>
    </w:tbl>
    <w:p>
      <w:pPr>
        <w:spacing w:after="20"/>
      </w:pPr>
    </w:p>
    <w:p>
      <w:r>
        <w:rPr>
          <w:b/>
        </w:rPr>
        <w:t>The 1–3/4/5+ year categories above are curve tenors, not historical lookback windows.</w:t>
      </w:r>
      <w:r>
        <w:t xml:space="preserve"> Intermediate liability liquidity requires judgement. The note also discusses comparison with reference results and aggregate Canadian-dollar unobservable-period present values in the Appointed Actuary reporting context; it should not be described as an unconstrained optional benchmark. [A5 pp.35, 37, 39–40]</w:t>
      </w:r>
    </w:p>
    <w:p>
      <w:r>
        <w:t>The credit-risk discussion distinguishes expected and unexpected losses and considers the limitations of stable through-the-cycle assumptions when current conditions change. It does not establish that a fixed historical credit-spread average is sufficient for every reporting-date liability curve. [A5 p.26]</w:t>
      </w:r>
    </w:p>
    <w:tbl>
      <w:tblPr>
        <w:tblW w:type="auto" w:w="0"/>
        <w:jc w:val="center"/>
        <w:tblLayout w:type="fixed"/>
        <w:tblLook w:firstColumn="1" w:firstRow="1" w:lastColumn="0" w:lastRow="0" w:noHBand="0" w:noVBand="1" w:val="04A0"/>
      </w:tblPr>
      <w:tblGrid>
        <w:gridCol w:w="4715"/>
        <w:gridCol w:w="1684"/>
        <w:gridCol w:w="1684"/>
        <w:gridCol w:w="1684"/>
        <w:gridCol w:w="1684"/>
        <w:gridCol w:w="1684"/>
        <w:gridCol w:w="1684"/>
      </w:tblGrid>
      <w:tr>
        <w:trPr>
          <w:cantSplit/>
          <w:tblHeader/>
        </w:trPr>
        <w:tc>
          <w:tcPr>
            <w:tcW w:type="dxa" w:w="4715"/>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Insurer / disclosed scope</w:t>
            </w:r>
          </w:p>
        </w:tc>
        <w:tc>
          <w:tcPr>
            <w:tcW w:type="dxa" w:w="168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1-year</w:t>
            </w:r>
          </w:p>
        </w:tc>
        <w:tc>
          <w:tcPr>
            <w:tcW w:type="dxa" w:w="168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5-year</w:t>
            </w:r>
          </w:p>
        </w:tc>
        <w:tc>
          <w:tcPr>
            <w:tcW w:type="dxa" w:w="168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10-year</w:t>
            </w:r>
          </w:p>
        </w:tc>
        <w:tc>
          <w:tcPr>
            <w:tcW w:type="dxa" w:w="168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20-year</w:t>
            </w:r>
          </w:p>
        </w:tc>
        <w:tc>
          <w:tcPr>
            <w:tcW w:type="dxa" w:w="168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30-year</w:t>
            </w:r>
          </w:p>
        </w:tc>
        <w:tc>
          <w:tcPr>
            <w:tcW w:type="dxa" w:w="168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Ultimate</w:t>
            </w:r>
          </w:p>
        </w:tc>
      </w:tr>
      <w:tr>
        <w:trPr>
          <w:cantSplit/>
        </w:trPr>
        <w:tc>
          <w:tcPr>
            <w:tcW w:type="dxa" w:w="471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Manulife CAD illiquid</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2.89%</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3.85%</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4.94%</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5.36%</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6.10%</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4.40%</w:t>
            </w:r>
          </w:p>
        </w:tc>
      </w:tr>
      <w:tr>
        <w:trPr>
          <w:cantSplit/>
        </w:trPr>
        <w:tc>
          <w:tcPr>
            <w:tcW w:type="dxa" w:w="471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Manulife CAD somewhat liquid</w:t>
            </w:r>
          </w:p>
        </w:tc>
        <w:tc>
          <w:tcPr>
            <w:tcW w:type="dxa" w:w="168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2.87%</w:t>
            </w:r>
          </w:p>
        </w:tc>
        <w:tc>
          <w:tcPr>
            <w:tcW w:type="dxa" w:w="168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3.82%</w:t>
            </w:r>
          </w:p>
        </w:tc>
        <w:tc>
          <w:tcPr>
            <w:tcW w:type="dxa" w:w="168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4.85%</w:t>
            </w:r>
          </w:p>
        </w:tc>
        <w:tc>
          <w:tcPr>
            <w:tcW w:type="dxa" w:w="168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5.39%</w:t>
            </w:r>
          </w:p>
        </w:tc>
        <w:tc>
          <w:tcPr>
            <w:tcW w:type="dxa" w:w="168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6.05%</w:t>
            </w:r>
          </w:p>
        </w:tc>
        <w:tc>
          <w:tcPr>
            <w:tcW w:type="dxa" w:w="168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4.40%</w:t>
            </w:r>
          </w:p>
        </w:tc>
      </w:tr>
      <w:tr>
        <w:trPr>
          <w:cantSplit/>
        </w:trPr>
        <w:tc>
          <w:tcPr>
            <w:tcW w:type="dxa" w:w="471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Sun Life CAD weighted curve</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3.34%</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4.11%</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4.52%</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5.13%</w:t>
            </w:r>
          </w:p>
        </w:tc>
        <w:tc>
          <w:tcPr>
            <w:tcW w:type="dxa" w:w="168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4.95%</w:t>
            </w:r>
          </w:p>
        </w:tc>
      </w:tr>
    </w:tbl>
    <w:p>
      <w:pPr>
        <w:spacing w:after="20"/>
      </w:pPr>
    </w:p>
    <w:p>
      <w:r>
        <w:t xml:space="preserve">Sources: A3 printed p.218 / PDF p.220; A4 printed p.69 / PDF p.194. These are 2025 </w:t>
      </w:r>
      <w:r>
        <w:rPr>
          <w:b/>
        </w:rPr>
        <w:t>total discount rates including liquidity</w:t>
      </w:r>
      <w:r>
        <w:t>, not directly comparable standalone ILPs. Manulife's CAD observable/ultimate points are 30/70 years. Different portfolios, weighting and curve construction can explain differences; the table alone cannot attribute them exclusively to ILP.</w:t>
      </w:r>
    </w:p>
    <w:p>
      <w:pPr>
        <w:pStyle w:val="Heading2"/>
      </w:pPr>
      <w:r>
        <w:t>Additional verified company examples from online originals</w:t>
      </w:r>
    </w:p>
    <w:p>
      <w:r>
        <w:rPr>
          <w:b/>
        </w:rPr>
        <w:t>Prudential plc, FY2025, Note A3:</w:t>
      </w:r>
      <w:r>
        <w:t xml:space="preserve"> bottom-up; government RF except HKD swaps. ILP uses corporate yield less RF and credit allowance; 2025 credit allowances are 6–32 bps. Application ratios are 0%, 50% or 100%, reflecting policyholder liquidity characteristics. RA targets the 75th percentile over one year. These are </w:t>
      </w:r>
      <w:r>
        <w:rPr>
          <w:b/>
        </w:rPr>
        <w:t>Group disclosures</w:t>
      </w:r>
      <w:r>
        <w:t>, not independently verified PHKL entity disclosures. [W3, “Discount rates” and “Risk adjustment”]</w:t>
      </w:r>
    </w:p>
    <w:p>
      <w:r>
        <w:rPr>
          <w:b/>
        </w:rPr>
        <w:t>Canada Life, FY2025:</w:t>
      </w:r>
      <w:r>
        <w:t xml:space="preserve"> generally top-down for relevant non-participating business; bottom-up is used for certain liabilities, including those not backed by assets. Credit adjustments consider rating, sector, term, historical information and prevailing conditions. The bottom-up liquidity spread uses an external benchmark. Its RA discussion refers to Lifeco's 85–90% target, net of reinsurance; this is not a Canadian industry target. [W2, printed pp.13, 23–24 / PDF pp.15, 25–26]</w:t>
      </w:r>
    </w:p>
    <w:p>
      <w:pPr>
        <w:pStyle w:val="Heading1"/>
        <w:pageBreakBefore/>
      </w:pPr>
      <w:r>
        <w:t>3 Lapse assumption setting versus sensitivity</w:t>
      </w:r>
    </w:p>
    <w:tbl>
      <w:tblPr>
        <w:tblW w:type="auto" w:w="0"/>
        <w:jc w:val="center"/>
        <w:tblLayout w:type="fixed"/>
        <w:tblLook w:firstColumn="1" w:firstRow="1" w:lastColumn="0" w:lastRow="0" w:noHBand="0" w:noVBand="1" w:val="04A0"/>
      </w:tblPr>
      <w:tblGrid>
        <w:gridCol w:w="3772"/>
        <w:gridCol w:w="7005"/>
        <w:gridCol w:w="4041"/>
      </w:tblGrid>
      <w:tr>
        <w:trPr>
          <w:cantSplit/>
          <w:tblHeader/>
        </w:trPr>
        <w:tc>
          <w:tcPr>
            <w:tcW w:type="dxa" w:w="3772"/>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Evidence</w:t>
            </w:r>
          </w:p>
        </w:tc>
        <w:tc>
          <w:tcPr>
            <w:tcW w:type="dxa" w:w="7005"/>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What is actually disclosed</w:t>
            </w:r>
          </w:p>
        </w:tc>
        <w:tc>
          <w:tcPr>
            <w:tcW w:type="dxa" w:w="4041"/>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Appropriate use</w:t>
            </w:r>
          </w:p>
        </w:tc>
      </w:tr>
      <w:tr>
        <w:trPr>
          <w:cantSplit/>
        </w:trPr>
        <w:tc>
          <w:tcPr>
            <w:tcW w:type="dxa" w:w="377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Sun Life FY2025</w:t>
            </w:r>
          </w:p>
        </w:tc>
        <w:tc>
          <w:tcPr>
            <w:tcW w:type="dxa" w:w="700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Generally a five-year average of own lapse/surrender experience; segmentation includes plan, issue age, premium payment method, duration and financial variables; industry data where credibility is insufficient. [A4 p.69/PDF194]</w:t>
            </w:r>
          </w:p>
        </w:tc>
        <w:tc>
          <w:tcPr>
            <w:tcW w:type="dxa" w:w="404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 genuine experience-window comparator. It disproves an absolute claim that public reports never disclose the study period.</w:t>
            </w:r>
          </w:p>
        </w:tc>
      </w:tr>
      <w:tr>
        <w:trPr>
          <w:cantSplit/>
        </w:trPr>
        <w:tc>
          <w:tcPr>
            <w:tcW w:type="dxa" w:w="377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Manulife FY2025</w:t>
            </w:r>
          </w:p>
        </w:tc>
        <w:tc>
          <w:tcPr>
            <w:tcW w:type="dxa" w:w="700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Recent own experience, adjusted for expected future conditions; distinctions by contract type and geography. [A3 p.216/PDF218]</w:t>
            </w:r>
          </w:p>
        </w:tc>
        <w:tc>
          <w:tcPr>
            <w:tcW w:type="dxa" w:w="404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Evidence of experience plus forward-looking adjustment. No fixed numerical lookback should be invented.</w:t>
            </w:r>
          </w:p>
        </w:tc>
      </w:tr>
      <w:tr>
        <w:trPr>
          <w:cantSplit/>
        </w:trPr>
        <w:tc>
          <w:tcPr>
            <w:tcW w:type="dxa" w:w="3772"/>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GEH FY2025</w:t>
            </w:r>
          </w:p>
        </w:tc>
        <w:tc>
          <w:tcPr>
            <w:tcW w:type="dxa" w:w="700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Credible own experience, otherwise similar products; variation by product and policy year. [A2 p.139/PDF141]</w:t>
            </w:r>
          </w:p>
        </w:tc>
        <w:tc>
          <w:tcPr>
            <w:tcW w:type="dxa" w:w="404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Supports product segmentation and credibility assessment.</w:t>
            </w:r>
          </w:p>
        </w:tc>
      </w:tr>
      <w:tr>
        <w:trPr>
          <w:cantSplit/>
        </w:trPr>
        <w:tc>
          <w:tcPr>
            <w:tcW w:type="dxa" w:w="3772"/>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AIA FY2025</w:t>
            </w:r>
          </w:p>
        </w:tc>
        <w:tc>
          <w:tcPr>
            <w:tcW w:type="dxa" w:w="700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Group lapse sensitivities of +10% and −10%, before reinsurance. [A1 p.185/PDF191]</w:t>
            </w:r>
          </w:p>
        </w:tc>
        <w:tc>
          <w:tcPr>
            <w:tcW w:type="dxa" w:w="404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Stress specification and financial impact, not a 10% base lapse rate.</w:t>
            </w:r>
          </w:p>
        </w:tc>
      </w:tr>
    </w:tbl>
    <w:p>
      <w:pPr>
        <w:spacing w:after="20"/>
      </w:pPr>
    </w:p>
    <w:p>
      <w:r>
        <w:t>Selected sensitivity results retain the source labels and bases:</w:t>
      </w:r>
    </w:p>
    <w:tbl>
      <w:tblPr>
        <w:tblW w:type="auto" w:w="0"/>
        <w:jc w:val="center"/>
        <w:tblLayout w:type="fixed"/>
        <w:tblLook w:firstColumn="1" w:firstRow="1" w:lastColumn="0" w:lastRow="0" w:noHBand="0" w:noVBand="1" w:val="04A0"/>
      </w:tblPr>
      <w:tblGrid>
        <w:gridCol w:w="2887"/>
        <w:gridCol w:w="2887"/>
        <w:gridCol w:w="2694"/>
        <w:gridCol w:w="3656"/>
        <w:gridCol w:w="2694"/>
      </w:tblGrid>
      <w:tr>
        <w:trPr>
          <w:cantSplit/>
          <w:tblHeader/>
        </w:trPr>
        <w:tc>
          <w:tcPr>
            <w:tcW w:type="dxa" w:w="2887"/>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Insurer / scope</w:t>
            </w:r>
          </w:p>
        </w:tc>
        <w:tc>
          <w:tcPr>
            <w:tcW w:type="dxa" w:w="2887"/>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Source scenario</w:t>
            </w:r>
          </w:p>
        </w:tc>
        <w:tc>
          <w:tcPr>
            <w:tcW w:type="dxa" w:w="269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Profit impact</w:t>
            </w:r>
          </w:p>
        </w:tc>
        <w:tc>
          <w:tcPr>
            <w:tcW w:type="dxa" w:w="3656"/>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CSM / equity impact</w:t>
            </w:r>
          </w:p>
        </w:tc>
        <w:tc>
          <w:tcPr>
            <w:tcW w:type="dxa" w:w="269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Basis</w:t>
            </w:r>
          </w:p>
        </w:tc>
      </w:tr>
      <w:tr>
        <w:trPr>
          <w:cantSplit/>
        </w:trPr>
        <w:tc>
          <w:tcPr>
            <w:tcW w:type="dxa" w:w="288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AIA Group</w:t>
            </w:r>
          </w:p>
        </w:tc>
        <w:tc>
          <w:tcPr>
            <w:tcW w:type="dxa" w:w="288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Lapse +10%</w:t>
            </w:r>
          </w:p>
        </w:tc>
        <w:tc>
          <w:tcPr>
            <w:tcW w:type="dxa" w:w="269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−US$58m</w:t>
            </w:r>
          </w:p>
        </w:tc>
        <w:tc>
          <w:tcPr>
            <w:tcW w:type="dxa" w:w="3656"/>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CSM −US$3,452m</w:t>
            </w:r>
          </w:p>
        </w:tc>
        <w:tc>
          <w:tcPr>
            <w:tcW w:type="dxa" w:w="269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Pre-tax; before reinsurance</w:t>
            </w:r>
          </w:p>
        </w:tc>
      </w:tr>
      <w:tr>
        <w:trPr>
          <w:cantSplit/>
        </w:trPr>
        <w:tc>
          <w:tcPr>
            <w:tcW w:type="dxa" w:w="288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AIA Group</w:t>
            </w:r>
          </w:p>
        </w:tc>
        <w:tc>
          <w:tcPr>
            <w:tcW w:type="dxa" w:w="288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Lapse −10%</w:t>
            </w:r>
          </w:p>
        </w:tc>
        <w:tc>
          <w:tcPr>
            <w:tcW w:type="dxa" w:w="269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+US$61m</w:t>
            </w:r>
          </w:p>
        </w:tc>
        <w:tc>
          <w:tcPr>
            <w:tcW w:type="dxa" w:w="3656"/>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CSM +US$3,829m</w:t>
            </w:r>
          </w:p>
        </w:tc>
        <w:tc>
          <w:tcPr>
            <w:tcW w:type="dxa" w:w="269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Same basis</w:t>
            </w:r>
          </w:p>
        </w:tc>
      </w:tr>
      <w:tr>
        <w:trPr>
          <w:cantSplit/>
        </w:trPr>
        <w:tc>
          <w:tcPr>
            <w:tcW w:type="dxa" w:w="288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GEH Singapore segment</w:t>
            </w:r>
          </w:p>
        </w:tc>
        <w:tc>
          <w:tcPr>
            <w:tcW w:type="dxa" w:w="288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000000"/>
                <w:sz w:val="19"/>
              </w:rPr>
              <w:t>Persistency +25%</w:t>
            </w:r>
          </w:p>
        </w:tc>
        <w:tc>
          <w:tcPr>
            <w:tcW w:type="dxa" w:w="269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−S$21.2m net</w:t>
            </w:r>
          </w:p>
        </w:tc>
        <w:tc>
          <w:tcPr>
            <w:tcW w:type="dxa" w:w="3656"/>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Equity −S$60.0m net</w:t>
            </w:r>
          </w:p>
        </w:tc>
        <w:tc>
          <w:tcPr>
            <w:tcW w:type="dxa" w:w="269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Table 30(B1), after tax; including reinsurance effects</w:t>
            </w:r>
          </w:p>
        </w:tc>
      </w:tr>
      <w:tr>
        <w:trPr>
          <w:cantSplit/>
        </w:trPr>
        <w:tc>
          <w:tcPr>
            <w:tcW w:type="dxa" w:w="288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GEH Singapore segment</w:t>
            </w:r>
          </w:p>
        </w:tc>
        <w:tc>
          <w:tcPr>
            <w:tcW w:type="dxa" w:w="288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b/>
                <w:color w:val="000000"/>
                <w:sz w:val="19"/>
              </w:rPr>
              <w:t>Persistency −25%</w:t>
            </w:r>
          </w:p>
        </w:tc>
        <w:tc>
          <w:tcPr>
            <w:tcW w:type="dxa" w:w="269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−S$8.5m net</w:t>
            </w:r>
          </w:p>
        </w:tc>
        <w:tc>
          <w:tcPr>
            <w:tcW w:type="dxa" w:w="3656"/>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Equity +S$22.9m net</w:t>
            </w:r>
          </w:p>
        </w:tc>
        <w:tc>
          <w:tcPr>
            <w:tcW w:type="dxa" w:w="269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Same basis</w:t>
            </w:r>
          </w:p>
        </w:tc>
      </w:tr>
    </w:tbl>
    <w:p>
      <w:pPr>
        <w:spacing w:after="20"/>
      </w:pPr>
    </w:p>
    <w:p>
      <w:r>
        <w:t>Sources: A1 Note 34, printed p.185 / PDF p.191; A2 Note 30, printed p.186 / PDF p.188. Retain “Persistency” exactly: do not silently reinterpret its sign as the same-direction lapse shock. The AIA and GEH figures have different currencies, scopes, tax and reinsurance bases and are not a direct sensitivity ranking.</w:t>
      </w:r>
    </w:p>
    <w:p>
      <w:pPr>
        <w:pStyle w:val="Heading1"/>
        <w:pageBreakBefore/>
      </w:pPr>
      <w:r>
        <w:t>4 Risk adjustment comparable fields and limits</w:t>
      </w:r>
    </w:p>
    <w:tbl>
      <w:tblPr>
        <w:tblW w:type="auto" w:w="0"/>
        <w:jc w:val="center"/>
        <w:tblLayout w:type="fixed"/>
        <w:tblLook w:firstColumn="1" w:firstRow="1" w:lastColumn="0" w:lastRow="0" w:noHBand="0" w:noVBand="1" w:val="04A0"/>
      </w:tblPr>
      <w:tblGrid>
        <w:gridCol w:w="2095"/>
        <w:gridCol w:w="2095"/>
        <w:gridCol w:w="3891"/>
        <w:gridCol w:w="4640"/>
        <w:gridCol w:w="2095"/>
      </w:tblGrid>
      <w:tr>
        <w:trPr>
          <w:cantSplit/>
          <w:tblHeader/>
        </w:trPr>
        <w:tc>
          <w:tcPr>
            <w:tcW w:type="dxa" w:w="2095"/>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Insurer</w:t>
            </w:r>
          </w:p>
        </w:tc>
        <w:tc>
          <w:tcPr>
            <w:tcW w:type="dxa" w:w="2095"/>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Method</w:t>
            </w:r>
          </w:p>
        </w:tc>
        <w:tc>
          <w:tcPr>
            <w:tcW w:type="dxa" w:w="3891"/>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Disclosed confidence level</w:t>
            </w:r>
          </w:p>
        </w:tc>
        <w:tc>
          <w:tcPr>
            <w:tcW w:type="dxa" w:w="4640"/>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Scope / important qualification</w:t>
            </w:r>
          </w:p>
        </w:tc>
        <w:tc>
          <w:tcPr>
            <w:tcW w:type="dxa" w:w="2095"/>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Exact source</w:t>
            </w:r>
          </w:p>
        </w:tc>
      </w:tr>
      <w:tr>
        <w:trPr>
          <w:cantSplit/>
        </w:trPr>
        <w:tc>
          <w:tcPr>
            <w:tcW w:type="dxa" w:w="20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AIA Group</w:t>
            </w:r>
          </w:p>
        </w:tc>
        <w:tc>
          <w:tcPr>
            <w:tcW w:type="dxa" w:w="20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Confidence-level technique</w:t>
            </w:r>
          </w:p>
        </w:tc>
        <w:tc>
          <w:tcPr>
            <w:tcW w:type="dxa" w:w="389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75th percentile</w:t>
            </w:r>
          </w:p>
        </w:tc>
        <w:tc>
          <w:tcPr>
            <w:tcW w:type="dxa" w:w="4640"/>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Geographic segment basis; no one-year horizon established by the cited passage</w:t>
            </w:r>
          </w:p>
        </w:tc>
        <w:tc>
          <w:tcPr>
            <w:tcW w:type="dxa" w:w="20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A1 p.174/PDF180, Note 24</w:t>
            </w:r>
          </w:p>
        </w:tc>
      </w:tr>
      <w:tr>
        <w:trPr>
          <w:cantSplit/>
        </w:trPr>
        <w:tc>
          <w:tcPr>
            <w:tcW w:type="dxa" w:w="20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GEH Group</w:t>
            </w:r>
          </w:p>
        </w:tc>
        <w:tc>
          <w:tcPr>
            <w:tcW w:type="dxa" w:w="20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Confidence-level technique</w:t>
            </w:r>
          </w:p>
        </w:tc>
        <w:tc>
          <w:tcPr>
            <w:tcW w:type="dxa" w:w="389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85th percentile</w:t>
            </w:r>
          </w:p>
        </w:tc>
        <w:tc>
          <w:tcPr>
            <w:tcW w:type="dxa" w:w="4640"/>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Underlying-contract RA does not consider the effect of reinsurance</w:t>
            </w:r>
          </w:p>
        </w:tc>
        <w:tc>
          <w:tcPr>
            <w:tcW w:type="dxa" w:w="20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A2 p.139/PDF141, Note 2.26</w:t>
            </w:r>
          </w:p>
        </w:tc>
      </w:tr>
      <w:tr>
        <w:trPr>
          <w:cantSplit/>
        </w:trPr>
        <w:tc>
          <w:tcPr>
            <w:tcW w:type="dxa" w:w="20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Manulife</w:t>
            </w:r>
          </w:p>
        </w:tc>
        <w:tc>
          <w:tcPr>
            <w:tcW w:type="dxa" w:w="20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Margin approach</w:t>
            </w:r>
          </w:p>
        </w:tc>
        <w:tc>
          <w:tcPr>
            <w:tcW w:type="dxa" w:w="389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90–95%</w:t>
            </w:r>
          </w:p>
        </w:tc>
        <w:tc>
          <w:tcPr>
            <w:tcW w:type="dxa" w:w="4640"/>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All segments; margins reviewed periodically; discount basis consistent with best estimates</w:t>
            </w:r>
          </w:p>
        </w:tc>
        <w:tc>
          <w:tcPr>
            <w:tcW w:type="dxa" w:w="2095"/>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A3 p.218/PDF220</w:t>
            </w:r>
          </w:p>
        </w:tc>
      </w:tr>
      <w:tr>
        <w:trPr>
          <w:cantSplit/>
        </w:trPr>
        <w:tc>
          <w:tcPr>
            <w:tcW w:type="dxa" w:w="20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Sun Life</w:t>
            </w:r>
          </w:p>
        </w:tc>
        <w:tc>
          <w:tcPr>
            <w:tcW w:type="dxa" w:w="20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Margins on best-estimate assumptions</w:t>
            </w:r>
          </w:p>
        </w:tc>
        <w:tc>
          <w:tcPr>
            <w:tcW w:type="dxa" w:w="389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Approximately 85–90%</w:t>
            </w:r>
          </w:p>
        </w:tc>
        <w:tc>
          <w:tcPr>
            <w:tcW w:type="dxa" w:w="4640"/>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Margins generally 5–20%, varying by uncertainty and business</w:t>
            </w:r>
          </w:p>
        </w:tc>
        <w:tc>
          <w:tcPr>
            <w:tcW w:type="dxa" w:w="2095"/>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A4 p.70/PDF195</w:t>
            </w:r>
          </w:p>
        </w:tc>
      </w:tr>
    </w:tbl>
    <w:p>
      <w:pPr>
        <w:spacing w:after="20"/>
      </w:pPr>
    </w:p>
    <w:p>
      <w:r>
        <w:t xml:space="preserve">For Sun Life, </w:t>
      </w:r>
      <w:r>
        <w:rPr>
          <w:b/>
        </w:rPr>
        <w:t>5–20% is an assumption-margin range</w:t>
      </w:r>
      <w:r>
        <w:t>. It is not a confidence level and not an RA/BEL ratio. A higher disclosed confidence level does not by itself establish greater prudence: calibration horizon, diversification, risk aggregation, distribution and reinsurance treatment must also be comparable.</w:t>
      </w:r>
    </w:p>
    <w:p>
      <w:pPr>
        <w:pStyle w:val="Heading1"/>
        <w:pageBreakBefore/>
      </w:pPr>
      <w:r>
        <w:t>5 Historical Singapore evidence behind the screenshots</w:t>
      </w:r>
    </w:p>
    <w:p>
      <w:r>
        <w:rPr>
          <w:b/>
        </w:rPr>
        <w:t>W1 is PwC's November 2024 analysis of FY2023 statements, not FY2025 evidence.</w:t>
      </w:r>
      <w:r>
        <w:t xml:space="preserve"> BU = bottom-up; TD = top-down; CL = confidence-level technique. Method: p.11; RA: p.10; lapse/discontinuance sensitivity: p.12.</w:t>
      </w:r>
    </w:p>
    <w:tbl>
      <w:tblPr>
        <w:tblW w:type="auto" w:w="0"/>
        <w:jc w:val="center"/>
        <w:tblLayout w:type="fixed"/>
        <w:tblLook w:firstColumn="1" w:firstRow="1" w:lastColumn="0" w:lastRow="0" w:noHBand="0" w:noVBand="1" w:val="04A0"/>
      </w:tblPr>
      <w:tblGrid>
        <w:gridCol w:w="3457"/>
        <w:gridCol w:w="3704"/>
        <w:gridCol w:w="3457"/>
        <w:gridCol w:w="4198"/>
      </w:tblGrid>
      <w:tr>
        <w:trPr>
          <w:cantSplit/>
          <w:tblHeader/>
        </w:trPr>
        <w:tc>
          <w:tcPr>
            <w:tcW w:type="dxa" w:w="3457"/>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Insurer</w:t>
            </w:r>
          </w:p>
        </w:tc>
        <w:tc>
          <w:tcPr>
            <w:tcW w:type="dxa" w:w="3704"/>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Discount method</w:t>
            </w:r>
          </w:p>
        </w:tc>
        <w:tc>
          <w:tcPr>
            <w:tcW w:type="dxa" w:w="3457"/>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RA</w:t>
            </w:r>
          </w:p>
        </w:tc>
        <w:tc>
          <w:tcPr>
            <w:tcW w:type="dxa" w:w="4198"/>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Lapse sensitivity</w:t>
            </w:r>
          </w:p>
        </w:tc>
      </w:tr>
      <w:tr>
        <w:trPr>
          <w:cantSplit/>
        </w:trPr>
        <w:tc>
          <w:tcPr>
            <w:tcW w:type="dxa" w:w="345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AIA Singapore</w:t>
            </w:r>
          </w:p>
        </w:tc>
        <w:tc>
          <w:tcPr>
            <w:tcW w:type="dxa" w:w="370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TD</w:t>
            </w:r>
          </w:p>
        </w:tc>
        <w:tc>
          <w:tcPr>
            <w:tcW w:type="dxa" w:w="345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CL 75th</w:t>
            </w:r>
          </w:p>
        </w:tc>
        <w:tc>
          <w:tcPr>
            <w:tcW w:type="dxa" w:w="4198"/>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w:t>
            </w:r>
          </w:p>
        </w:tc>
      </w:tr>
      <w:tr>
        <w:trPr>
          <w:cantSplit/>
        </w:trPr>
        <w:tc>
          <w:tcPr>
            <w:tcW w:type="dxa" w:w="345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HSBC Life Singapore</w:t>
            </w:r>
          </w:p>
        </w:tc>
        <w:tc>
          <w:tcPr>
            <w:tcW w:type="dxa" w:w="370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BU</w:t>
            </w:r>
          </w:p>
        </w:tc>
        <w:tc>
          <w:tcPr>
            <w:tcW w:type="dxa" w:w="345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CL 75th, one year</w:t>
            </w:r>
          </w:p>
        </w:tc>
        <w:tc>
          <w:tcPr>
            <w:tcW w:type="dxa" w:w="4198"/>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w:t>
            </w:r>
          </w:p>
        </w:tc>
      </w:tr>
      <w:tr>
        <w:trPr>
          <w:cantSplit/>
        </w:trPr>
        <w:tc>
          <w:tcPr>
            <w:tcW w:type="dxa" w:w="345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China Taiping Singapore</w:t>
            </w:r>
          </w:p>
        </w:tc>
        <w:tc>
          <w:tcPr>
            <w:tcW w:type="dxa" w:w="370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BU</w:t>
            </w:r>
          </w:p>
        </w:tc>
        <w:tc>
          <w:tcPr>
            <w:tcW w:type="dxa" w:w="345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CL 75th</w:t>
            </w:r>
          </w:p>
        </w:tc>
        <w:tc>
          <w:tcPr>
            <w:tcW w:type="dxa" w:w="4198"/>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w:t>
            </w:r>
          </w:p>
        </w:tc>
      </w:tr>
      <w:tr>
        <w:trPr>
          <w:cantSplit/>
        </w:trPr>
        <w:tc>
          <w:tcPr>
            <w:tcW w:type="dxa" w:w="345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Etiqa</w:t>
            </w:r>
          </w:p>
        </w:tc>
        <w:tc>
          <w:tcPr>
            <w:tcW w:type="dxa" w:w="370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BU</w:t>
            </w:r>
          </w:p>
        </w:tc>
        <w:tc>
          <w:tcPr>
            <w:tcW w:type="dxa" w:w="345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CL 90th</w:t>
            </w:r>
          </w:p>
        </w:tc>
        <w:tc>
          <w:tcPr>
            <w:tcW w:type="dxa" w:w="4198"/>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 adverse</w:t>
            </w:r>
          </w:p>
        </w:tc>
      </w:tr>
      <w:tr>
        <w:trPr>
          <w:cantSplit/>
        </w:trPr>
        <w:tc>
          <w:tcPr>
            <w:tcW w:type="dxa" w:w="345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Great Eastern Life</w:t>
            </w:r>
          </w:p>
        </w:tc>
        <w:tc>
          <w:tcPr>
            <w:tcW w:type="dxa" w:w="370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BU</w:t>
            </w:r>
          </w:p>
        </w:tc>
        <w:tc>
          <w:tcPr>
            <w:tcW w:type="dxa" w:w="345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CL 85th</w:t>
            </w:r>
          </w:p>
        </w:tc>
        <w:tc>
          <w:tcPr>
            <w:tcW w:type="dxa" w:w="4198"/>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±25%</w:t>
            </w:r>
          </w:p>
        </w:tc>
      </w:tr>
      <w:tr>
        <w:trPr>
          <w:cantSplit/>
        </w:trPr>
        <w:tc>
          <w:tcPr>
            <w:tcW w:type="dxa" w:w="345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Manulife Singapore</w:t>
            </w:r>
          </w:p>
        </w:tc>
        <w:tc>
          <w:tcPr>
            <w:tcW w:type="dxa" w:w="370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BU</w:t>
            </w:r>
          </w:p>
        </w:tc>
        <w:tc>
          <w:tcPr>
            <w:tcW w:type="dxa" w:w="345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Margin; CL undisclosed</w:t>
            </w:r>
          </w:p>
        </w:tc>
        <w:tc>
          <w:tcPr>
            <w:tcW w:type="dxa" w:w="4198"/>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w:t>
            </w:r>
          </w:p>
        </w:tc>
      </w:tr>
      <w:tr>
        <w:trPr>
          <w:cantSplit/>
        </w:trPr>
        <w:tc>
          <w:tcPr>
            <w:tcW w:type="dxa" w:w="345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Prudential Singapore</w:t>
            </w:r>
          </w:p>
        </w:tc>
        <w:tc>
          <w:tcPr>
            <w:tcW w:type="dxa" w:w="3704"/>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BU</w:t>
            </w:r>
          </w:p>
        </w:tc>
        <w:tc>
          <w:tcPr>
            <w:tcW w:type="dxa" w:w="345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CL 75th, one year</w:t>
            </w:r>
          </w:p>
        </w:tc>
        <w:tc>
          <w:tcPr>
            <w:tcW w:type="dxa" w:w="4198"/>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w:t>
            </w:r>
          </w:p>
        </w:tc>
      </w:tr>
      <w:tr>
        <w:trPr>
          <w:cantSplit/>
        </w:trPr>
        <w:tc>
          <w:tcPr>
            <w:tcW w:type="dxa" w:w="345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Singlife</w:t>
            </w:r>
          </w:p>
        </w:tc>
        <w:tc>
          <w:tcPr>
            <w:tcW w:type="dxa" w:w="3704"/>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Undisclosed</w:t>
            </w:r>
          </w:p>
        </w:tc>
        <w:tc>
          <w:tcPr>
            <w:tcW w:type="dxa" w:w="345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Life 80th; other specified lines 75th</w:t>
            </w:r>
          </w:p>
        </w:tc>
        <w:tc>
          <w:tcPr>
            <w:tcW w:type="dxa" w:w="4198"/>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±10%</w:t>
            </w:r>
          </w:p>
        </w:tc>
      </w:tr>
    </w:tbl>
    <w:p>
      <w:pPr>
        <w:spacing w:after="20"/>
      </w:pPr>
    </w:p>
    <w:p>
      <w:r>
        <w:t>PwC p.11 reports AIA Singapore SGD RF 2.64–3.53% and ILP 0.74–1.43%. Footnote 5 describes Great Eastern's quarter-end calculation. These are dated observations. PwC's narrative “75–85” range conflicts with its Etiqa table entry; the company-level table is retained. The survey is evidence of its sample, not a current market census.</w:t>
      </w:r>
    </w:p>
    <w:p>
      <w:pPr>
        <w:pStyle w:val="Heading1"/>
        <w:pageBreakBefore/>
      </w:pPr>
      <w:r>
        <w:t>6 Audit of the supplied screenshot claims</w:t>
      </w:r>
    </w:p>
    <w:tbl>
      <w:tblPr>
        <w:tblW w:type="auto" w:w="0"/>
        <w:jc w:val="center"/>
        <w:tblLayout w:type="fixed"/>
        <w:tblLook w:firstColumn="1" w:firstRow="1" w:lastColumn="0" w:lastRow="0" w:noHBand="0" w:noVBand="1" w:val="04A0"/>
      </w:tblPr>
      <w:tblGrid>
        <w:gridCol w:w="2291"/>
        <w:gridCol w:w="2597"/>
        <w:gridCol w:w="9929"/>
      </w:tblGrid>
      <w:tr>
        <w:trPr>
          <w:cantSplit/>
          <w:tblHeader/>
        </w:trPr>
        <w:tc>
          <w:tcPr>
            <w:tcW w:type="dxa" w:w="2291"/>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Screenshot(s)</w:t>
            </w:r>
          </w:p>
        </w:tc>
        <w:tc>
          <w:tcPr>
            <w:tcW w:type="dxa" w:w="2597"/>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Assessment</w:t>
            </w:r>
          </w:p>
        </w:tc>
        <w:tc>
          <w:tcPr>
            <w:tcW w:type="dxa" w:w="9929"/>
            <w:vAlign w:val="center"/>
            <w:shd w:fill="203B50"/>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9"/>
              </w:rPr>
              <w:t>Required correction or qualification</w:t>
            </w:r>
          </w:p>
        </w:tc>
      </w:tr>
      <w:tr>
        <w:trPr>
          <w:cantSplit/>
        </w:trPr>
        <w:tc>
          <w:tcPr>
            <w:tcW w:type="dxa" w:w="229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IMG_5222–5224, IMG_5226</w:t>
            </w:r>
          </w:p>
        </w:tc>
        <w:tc>
          <w:tcPr>
            <w:tcW w:type="dxa" w:w="259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Mixed scope and periods</w:t>
            </w:r>
          </w:p>
        </w:tc>
        <w:tc>
          <w:tcPr>
            <w:tcW w:type="dxa" w:w="992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Replace market-wide labels with named entity/group, year and source. Use the five-component table above.</w:t>
            </w:r>
          </w:p>
        </w:tc>
      </w:tr>
      <w:tr>
        <w:trPr>
          <w:cantSplit/>
        </w:trPr>
        <w:tc>
          <w:tcPr>
            <w:tcW w:type="dxa" w:w="229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IMG_5227</w:t>
            </w:r>
          </w:p>
        </w:tc>
        <w:tc>
          <w:tcPr>
            <w:tcW w:type="dxa" w:w="259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Local PHKL assertion not fully reverified</w:t>
            </w:r>
          </w:p>
        </w:tc>
        <w:tc>
          <w:tcPr>
            <w:tcW w:type="dxa" w:w="992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The official FY2025 entity document was located but could not be retrieved successfully. Do not label this local-entity claim verified using the Group document. AIA provides another verified Hong Kong-related example.</w:t>
            </w:r>
          </w:p>
        </w:tc>
      </w:tr>
      <w:tr>
        <w:trPr>
          <w:cantSplit/>
        </w:trPr>
        <w:tc>
          <w:tcPr>
            <w:tcW w:type="dxa" w:w="229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IMG_5228</w:t>
            </w:r>
          </w:p>
        </w:tc>
        <w:tc>
          <w:tcPr>
            <w:tcW w:type="dxa" w:w="259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PHKL FY2025 lapse claim pending</w:t>
            </w:r>
          </w:p>
        </w:tc>
        <w:tc>
          <w:tcPr>
            <w:tcW w:type="dxa" w:w="992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The specific local ±10% claim remains pending. AIA Group sensitivity is separately verified and must retain its Group label.</w:t>
            </w:r>
          </w:p>
        </w:tc>
      </w:tr>
      <w:tr>
        <w:trPr>
          <w:cantSplit/>
        </w:trPr>
        <w:tc>
          <w:tcPr>
            <w:tcW w:type="dxa" w:w="229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IMG_5229</w:t>
            </w:r>
          </w:p>
        </w:tc>
        <w:tc>
          <w:tcPr>
            <w:tcW w:type="dxa" w:w="259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Scope qualification required</w:t>
            </w:r>
          </w:p>
        </w:tc>
        <w:tc>
          <w:tcPr>
            <w:tcW w:type="dxa" w:w="992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The cited Prudential Group methodology is verified in W3; local PHKL confirmation remains pending. Remove “most complete in Hong Kong”, which requires a systematic market-wide assessment.</w:t>
            </w:r>
          </w:p>
        </w:tc>
      </w:tr>
      <w:tr>
        <w:trPr>
          <w:cantSplit/>
        </w:trPr>
        <w:tc>
          <w:tcPr>
            <w:tcW w:type="dxa" w:w="229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IMG_5230–5231</w:t>
            </w:r>
          </w:p>
        </w:tc>
        <w:tc>
          <w:tcPr>
            <w:tcW w:type="dxa" w:w="259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Historical survey supported</w:t>
            </w:r>
          </w:p>
        </w:tc>
        <w:tc>
          <w:tcPr>
            <w:tcW w:type="dxa" w:w="992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Retain FY2023 and the eight-company sample qualifier. Do not present the table as FY2025 or all Singapore insurers.</w:t>
            </w:r>
          </w:p>
        </w:tc>
      </w:tr>
      <w:tr>
        <w:trPr>
          <w:cantSplit/>
        </w:trPr>
        <w:tc>
          <w:tcPr>
            <w:tcW w:type="dxa" w:w="229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IMG_5232</w:t>
            </w:r>
          </w:p>
        </w:tc>
        <w:tc>
          <w:tcPr>
            <w:tcW w:type="dxa" w:w="259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Historical numbers supported; update required</w:t>
            </w:r>
          </w:p>
        </w:tc>
        <w:tc>
          <w:tcPr>
            <w:tcW w:type="dxa" w:w="992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Keep historical AIA Singapore figures separate from current AIA Group currency curves. GEH's 2025 month-end wording differs from the historical survey's quarter-end wording; differing dates/entity scopes do not alone prove the timing of an operational policy change.</w:t>
            </w:r>
          </w:p>
        </w:tc>
      </w:tr>
      <w:tr>
        <w:trPr>
          <w:cantSplit/>
        </w:trPr>
        <w:tc>
          <w:tcPr>
            <w:tcW w:type="dxa" w:w="229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IMG_5233</w:t>
            </w:r>
          </w:p>
        </w:tc>
        <w:tc>
          <w:tcPr>
            <w:tcW w:type="dxa" w:w="259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Interpretation needs care</w:t>
            </w:r>
          </w:p>
        </w:tc>
        <w:tc>
          <w:tcPr>
            <w:tcW w:type="dxa" w:w="992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Refer to the survey footnotes for the named insurer methods. An abbreviated description omitting ILP does not establish zero ILP. Regulatory references do not establish identity between accounting and capital valuation.</w:t>
            </w:r>
          </w:p>
        </w:tc>
      </w:tr>
      <w:tr>
        <w:trPr>
          <w:cantSplit/>
        </w:trPr>
        <w:tc>
          <w:tcPr>
            <w:tcW w:type="dxa" w:w="229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IMG_5234</w:t>
            </w:r>
          </w:p>
        </w:tc>
        <w:tc>
          <w:tcPr>
            <w:tcW w:type="dxa" w:w="259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Historical sensitivity table supported</w:t>
            </w:r>
          </w:p>
        </w:tc>
        <w:tc>
          <w:tcPr>
            <w:tcW w:type="dxa" w:w="992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Preserve reporting year and stress labels. A wider shock does not establish a more conservative base assumption.</w:t>
            </w:r>
          </w:p>
        </w:tc>
      </w:tr>
      <w:tr>
        <w:trPr>
          <w:cantSplit/>
        </w:trPr>
        <w:tc>
          <w:tcPr>
            <w:tcW w:type="dxa" w:w="229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IMG_5235–5236</w:t>
            </w:r>
          </w:p>
        </w:tc>
        <w:tc>
          <w:tcPr>
            <w:tcW w:type="dxa" w:w="259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Historical RA table supported</w:t>
            </w:r>
          </w:p>
        </w:tc>
        <w:tc>
          <w:tcPr>
            <w:tcW w:type="dxa" w:w="992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Use the company entries, retain horizon qualifications, and avoid treating the sample as a current universal calibration.</w:t>
            </w:r>
          </w:p>
        </w:tc>
      </w:tr>
      <w:tr>
        <w:trPr>
          <w:cantSplit/>
        </w:trPr>
        <w:tc>
          <w:tcPr>
            <w:tcW w:type="dxa" w:w="229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IMG_5237–5238</w:t>
            </w:r>
          </w:p>
        </w:tc>
        <w:tc>
          <w:tcPr>
            <w:tcW w:type="dxa" w:w="259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Company example supported</w:t>
            </w:r>
          </w:p>
        </w:tc>
        <w:tc>
          <w:tcPr>
            <w:tcW w:type="dxa" w:w="992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Canada Life evidence supports the named company's mixed methods, not an entire-country classification.</w:t>
            </w:r>
          </w:p>
        </w:tc>
      </w:tr>
      <w:tr>
        <w:trPr>
          <w:cantSplit/>
        </w:trPr>
        <w:tc>
          <w:tcPr>
            <w:tcW w:type="dxa" w:w="2291"/>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IMG_5239</w:t>
            </w:r>
          </w:p>
        </w:tc>
        <w:tc>
          <w:tcPr>
            <w:tcW w:type="dxa" w:w="2597"/>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Overgeneralisation</w:t>
            </w:r>
          </w:p>
        </w:tc>
        <w:tc>
          <w:tcPr>
            <w:tcW w:type="dxa" w:w="9929"/>
            <w:vAlign w:val="center"/>
            <w:shd w:fill="F1F5F7"/>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Product-level tables may be unavailable, but some study-period information is public: Sun Life supplies a five-year example.</w:t>
            </w:r>
          </w:p>
        </w:tc>
      </w:tr>
      <w:tr>
        <w:trPr>
          <w:cantSplit/>
        </w:trPr>
        <w:tc>
          <w:tcPr>
            <w:tcW w:type="dxa" w:w="2291"/>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9"/>
              </w:rPr>
              <w:t>IMG_5240</w:t>
            </w:r>
          </w:p>
        </w:tc>
        <w:tc>
          <w:tcPr>
            <w:tcW w:type="dxa" w:w="2597"/>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Company-level scope required</w:t>
            </w:r>
          </w:p>
        </w:tc>
        <w:tc>
          <w:tcPr>
            <w:tcW w:type="dxa" w:w="9929"/>
            <w:vAlign w:val="center"/>
            <w:shd w:fill="FFFFFF"/>
            <w:tcMar>
              <w:top w:w="85" w:type="dxa"/>
              <w:bottom w:w="85"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9"/>
              </w:rPr>
              <w:t>The Canadian target described belongs to Lifeco/Canada Life. Use the separate Manulife and Sun Life entries for comparison.</w:t>
            </w:r>
          </w:p>
        </w:tc>
      </w:tr>
    </w:tbl>
    <w:p>
      <w:pPr>
        <w:spacing w:after="20"/>
      </w:pPr>
    </w:p>
    <w:p>
      <w:r>
        <w:t>Two supplied PDFs should be excluded from substantive ILP support: the IASB ownership-interest paper concerns the equity method; the May 2017 taxonomy paper concerns proposed taxonomy changes. Neither is an issued IFRS 17 measurement standard. [X1–X2]</w:t>
      </w:r>
    </w:p>
    <w:p>
      <w:pPr>
        <w:pStyle w:val="Heading1"/>
        <w:pageBreakBefore/>
      </w:pPr>
      <w:r>
        <w:t>7 Implications for the internal reinvestment spread study</w:t>
      </w:r>
    </w:p>
    <w:p>
      <w:r>
        <w:t xml:space="preserve">The earlier internal materials describe historical spreads, reinvestment assumptions and final ILP impacts. They are useful internal evidence but are not independent market-practice evidence. See the separate </w:t>
      </w:r>
      <w:hyperlink r:id="rId10">
        <w:r>
          <w:rPr>
            <w:color w:val="245A81"/>
          </w:rPr>
          <w:t>Internal Slides Study Record</w:t>
        </w:r>
      </w:hyperlink>
      <w:r>
        <w:t>.</w:t>
      </w:r>
    </w:p>
    <w:p>
      <w:pPr>
        <w:pStyle w:val="ListNumber"/>
      </w:pPr>
      <w:r>
        <w:rPr>
          <w:b/>
        </w:rPr>
        <w:t>Build a spread bridge:</w:t>
      </w:r>
      <w:r>
        <w:t xml:space="preserve"> reference yield → comparable RF → gross spread → credit-risk deduction → liquidity compensation → liability application ratio → final ILP. Reconcile the internal reinvestment assumption to the final liability adjustment.</w:t>
      </w:r>
    </w:p>
    <w:p>
      <w:pPr>
        <w:pStyle w:val="ListNumber"/>
      </w:pPr>
      <w:r>
        <w:rPr>
          <w:b/>
        </w:rPr>
        <w:t>Align the benchmark:</w:t>
      </w:r>
      <w:r>
        <w:t xml:space="preserve"> HKD swap spreads cannot be compared mechanically with USD Treasury or Canadian government spreads. Match currency, tenor/duration, rating, asset mix, date and net/gross credit treatment.</w:t>
      </w:r>
    </w:p>
    <w:p>
      <w:pPr>
        <w:pStyle w:val="ListNumber"/>
      </w:pPr>
      <w:r>
        <w:rPr>
          <w:b/>
        </w:rPr>
        <w:t>Separate historical evidence from current calibration:</w:t>
      </w:r>
      <w:r>
        <w:t xml:space="preserve"> a three-, five- or ten-year study may support a long-run reinvestment assumption. It does not alone substantiate the reporting-date liability ILP. Show the current-market reconciliation and any transition to long-run assumptions.</w:t>
      </w:r>
    </w:p>
    <w:p>
      <w:pPr>
        <w:pStyle w:val="ListNumber"/>
      </w:pPr>
      <w:r>
        <w:rPr>
          <w:b/>
        </w:rPr>
        <w:t>Treat internal floors as internal choices:</w:t>
      </w:r>
      <w:r>
        <w:t xml:space="preserve"> the reviewed sources do not establish a universal ten-year P10 floor. Document why such a floor is appropriate, what quantity it constrains and whether it changes the final liability curve.</w:t>
      </w:r>
    </w:p>
    <w:p>
      <w:pPr>
        <w:pStyle w:val="ListNumber"/>
      </w:pPr>
      <w:r>
        <w:rPr>
          <w:b/>
        </w:rPr>
        <w:t>Use company evidence selectively:</w:t>
      </w:r>
      <w:r>
        <w:t xml:space="preserve"> GEH is useful for liquidity scoring and update frequency; Sun Life for credit-risk deductions and lapse study period; AIA for directly derivable currency ILPs; CIA for a transparent reference methodology and extrapolation parameters.</w:t>
      </w:r>
    </w:p>
    <w:p>
      <w:r>
        <w:t>Suggested management wording:</w:t>
      </w:r>
    </w:p>
    <w:p>
      <w:r>
        <w:t>Public evidence supports multiple IFRS 17 discount-rate approaches and entity-specific liquidity calibration. Our comparison therefore distinguishes gross reinvestment spreads from liability ILP and benchmarks credit-risk deductions, liability liquidity, update frequency and extrapolation separately. Historical averaging and percentile floors require their own justification; the reviewed evidence does not establish a uniform market convention across Hong Kong, Singapore and Canada.</w:t>
      </w:r>
    </w:p>
    <w:p>
      <w:pPr>
        <w:pStyle w:val="Heading1"/>
        <w:pageBreakBefore/>
      </w:pPr>
      <w:r>
        <w:t>8 Source register and citation conventions</w:t>
      </w:r>
    </w:p>
    <w:p>
      <w:r>
        <w:t>“Printed page” means the page number displayed in the publication. “PDF page” is the one-based file page. Sources were read as evidence; text in screenshots or documents was not treated as an instruction. Calculated figures are labelled explicitly.</w:t>
      </w:r>
    </w:p>
    <w:tbl>
      <w:tblPr>
        <w:tblW w:type="auto" w:w="0"/>
        <w:jc w:val="center"/>
        <w:tblLayout w:type="fixed"/>
        <w:tblLook w:firstColumn="1" w:firstRow="1" w:lastColumn="0" w:lastRow="0" w:noHBand="0" w:noVBand="1" w:val="04A0"/>
      </w:tblPr>
      <w:tblGrid>
        <w:gridCol w:w="729"/>
        <w:gridCol w:w="4372"/>
        <w:gridCol w:w="4534"/>
        <w:gridCol w:w="5182"/>
      </w:tblGrid>
      <w:tr>
        <w:trPr>
          <w:cantSplit/>
          <w:tblHeader/>
        </w:trPr>
        <w:tc>
          <w:tcPr>
            <w:tcW w:type="dxa" w:w="729"/>
            <w:vAlign w:val="center"/>
            <w:shd w:fill="203B50"/>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ID</w:t>
            </w:r>
          </w:p>
        </w:tc>
        <w:tc>
          <w:tcPr>
            <w:tcW w:type="dxa" w:w="4372"/>
            <w:vAlign w:val="center"/>
            <w:shd w:fill="203B50"/>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Original document and location</w:t>
            </w:r>
          </w:p>
        </w:tc>
        <w:tc>
          <w:tcPr>
            <w:tcW w:type="dxa" w:w="4534"/>
            <w:vAlign w:val="center"/>
            <w:shd w:fill="203B50"/>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Exact sections used</w:t>
            </w:r>
          </w:p>
        </w:tc>
        <w:tc>
          <w:tcPr>
            <w:tcW w:type="dxa" w:w="5182"/>
            <w:vAlign w:val="center"/>
            <w:shd w:fill="203B50"/>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Evidence status</w:t>
            </w:r>
          </w:p>
        </w:tc>
      </w:tr>
      <w:tr>
        <w:trPr>
          <w:cantSplit/>
        </w:trPr>
        <w:tc>
          <w:tcPr>
            <w:tcW w:type="dxa" w:w="729"/>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A1</w:t>
            </w:r>
          </w:p>
        </w:tc>
        <w:tc>
          <w:tcPr>
            <w:tcW w:type="dxa" w:w="437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11">
              <w:r>
                <w:rPr>
                  <w:color w:val="245A81"/>
                  <w:sz w:val="17"/>
                </w:rPr>
                <w:t>AIA FY2025 Annual Results Announcement</w:t>
              </w:r>
            </w:hyperlink>
          </w:p>
        </w:tc>
        <w:tc>
          <w:tcPr>
            <w:tcW w:type="dxa" w:w="4534"/>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Note 24: printed pp.173–174 / PDF179–180; Note 34: printed p.185 / PDF191</w:t>
            </w:r>
          </w:p>
        </w:tc>
        <w:tc>
          <w:tcPr>
            <w:tcW w:type="dxa" w:w="518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Supplied original read; rate table visually checked; Group scope</w:t>
            </w:r>
          </w:p>
        </w:tc>
      </w:tr>
      <w:tr>
        <w:trPr>
          <w:cantSplit/>
        </w:trPr>
        <w:tc>
          <w:tcPr>
            <w:tcW w:type="dxa" w:w="729"/>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A2</w:t>
            </w:r>
          </w:p>
        </w:tc>
        <w:tc>
          <w:tcPr>
            <w:tcW w:type="dxa" w:w="437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12">
              <w:r>
                <w:rPr>
                  <w:color w:val="245A81"/>
                  <w:sz w:val="17"/>
                </w:rPr>
                <w:t>Great Eastern Holdings Annual Report 2025</w:t>
              </w:r>
            </w:hyperlink>
          </w:p>
        </w:tc>
        <w:tc>
          <w:tcPr>
            <w:tcW w:type="dxa" w:w="4534"/>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Note 2.26: printed pp.138–139 / PDF140–141; Note 30 Table 30(B1): printed p.186 / PDF188</w:t>
            </w:r>
          </w:p>
        </w:tc>
        <w:tc>
          <w:tcPr>
            <w:tcW w:type="dxa" w:w="518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Supplied original read; Group policy and Singapore-segment sensitivity distinguished</w:t>
            </w:r>
          </w:p>
        </w:tc>
      </w:tr>
      <w:tr>
        <w:trPr>
          <w:cantSplit/>
        </w:trPr>
        <w:tc>
          <w:tcPr>
            <w:tcW w:type="dxa" w:w="729"/>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A3</w:t>
            </w:r>
          </w:p>
        </w:tc>
        <w:tc>
          <w:tcPr>
            <w:tcW w:type="dxa" w:w="437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13">
              <w:r>
                <w:rPr>
                  <w:color w:val="245A81"/>
                  <w:sz w:val="17"/>
                </w:rPr>
                <w:t>Manulife 2025 report</w:t>
              </w:r>
            </w:hyperlink>
          </w:p>
        </w:tc>
        <w:tc>
          <w:tcPr>
            <w:tcW w:type="dxa" w:w="4534"/>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Printed pp.216–219 / PDF218–221</w:t>
            </w:r>
          </w:p>
        </w:tc>
        <w:tc>
          <w:tcPr>
            <w:tcW w:type="dxa" w:w="518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Supplied original read; discount-rate/RA page visually checked</w:t>
            </w:r>
          </w:p>
        </w:tc>
      </w:tr>
      <w:tr>
        <w:trPr>
          <w:cantSplit/>
        </w:trPr>
        <w:tc>
          <w:tcPr>
            <w:tcW w:type="dxa" w:w="729"/>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A4</w:t>
            </w:r>
          </w:p>
        </w:tc>
        <w:tc>
          <w:tcPr>
            <w:tcW w:type="dxa" w:w="437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14">
              <w:r>
                <w:rPr>
                  <w:color w:val="245A81"/>
                  <w:sz w:val="17"/>
                </w:rPr>
                <w:t>Sun Life 2025 Form 40-F</w:t>
              </w:r>
            </w:hyperlink>
          </w:p>
        </w:tc>
        <w:tc>
          <w:tcPr>
            <w:tcW w:type="dxa" w:w="4534"/>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Financial statements printed pp.69–70 / PDF194–195</w:t>
            </w:r>
          </w:p>
        </w:tc>
        <w:tc>
          <w:tcPr>
            <w:tcW w:type="dxa" w:w="518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Supplied original read; financial-statement page numbering used</w:t>
            </w:r>
          </w:p>
        </w:tc>
      </w:tr>
      <w:tr>
        <w:trPr>
          <w:cantSplit/>
        </w:trPr>
        <w:tc>
          <w:tcPr>
            <w:tcW w:type="dxa" w:w="729"/>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A5</w:t>
            </w:r>
          </w:p>
        </w:tc>
        <w:tc>
          <w:tcPr>
            <w:tcW w:type="dxa" w:w="437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15">
              <w:r>
                <w:rPr>
                  <w:color w:val="245A81"/>
                  <w:sz w:val="17"/>
                </w:rPr>
                <w:t>CIA educational note 225094e</w:t>
              </w:r>
            </w:hyperlink>
          </w:p>
        </w:tc>
        <w:tc>
          <w:tcPr>
            <w:tcW w:type="dxa" w:w="4534"/>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pp.5–6, 26, 35–40; printed and PDF numbering coincide</w:t>
            </w:r>
          </w:p>
        </w:tc>
        <w:tc>
          <w:tcPr>
            <w:tcW w:type="dxa" w:w="518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Supplied original read; dated professional guidance, parameters effective 15 October 2025</w:t>
            </w:r>
          </w:p>
        </w:tc>
      </w:tr>
      <w:tr>
        <w:trPr>
          <w:cantSplit/>
        </w:trPr>
        <w:tc>
          <w:tcPr>
            <w:tcW w:type="dxa" w:w="729"/>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A6</w:t>
            </w:r>
          </w:p>
        </w:tc>
        <w:tc>
          <w:tcPr>
            <w:tcW w:type="dxa" w:w="437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16">
              <w:r>
                <w:rPr>
                  <w:color w:val="245A81"/>
                  <w:sz w:val="17"/>
                </w:rPr>
                <w:t>Hong Kong Insurance Rules, L.N.62 of 2024</w:t>
              </w:r>
            </w:hyperlink>
          </w:p>
        </w:tc>
        <w:tc>
          <w:tcPr>
            <w:tcW w:type="dxa" w:w="4534"/>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Rule 24: English B701/B703, PDF48–49; Schedule 5: B1021/B1023, PDF208–209</w:t>
            </w:r>
          </w:p>
        </w:tc>
        <w:tc>
          <w:tcPr>
            <w:tcW w:type="dxa" w:w="518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Supplied original read; prudential context only, not verified latest consolidated law</w:t>
            </w:r>
          </w:p>
        </w:tc>
      </w:tr>
      <w:tr>
        <w:trPr>
          <w:cantSplit/>
        </w:trPr>
        <w:tc>
          <w:tcPr>
            <w:tcW w:type="dxa" w:w="729"/>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W1</w:t>
            </w:r>
          </w:p>
        </w:tc>
        <w:tc>
          <w:tcPr>
            <w:tcW w:type="dxa" w:w="437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17">
              <w:r>
                <w:rPr>
                  <w:color w:val="245A81"/>
                  <w:sz w:val="17"/>
                </w:rPr>
                <w:t>PwC Singapore IFRS17 initial-disclosure analysis</w:t>
              </w:r>
            </w:hyperlink>
          </w:p>
        </w:tc>
        <w:tc>
          <w:tcPr>
            <w:tcW w:type="dxa" w:w="4534"/>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pp.10–12, especially p.11 footnotes</w:t>
            </w:r>
          </w:p>
        </w:tc>
        <w:tc>
          <w:tcPr>
            <w:tcW w:type="dxa" w:w="518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Original survey read online; analysis of underlying FY2023 financial statements, not an independent recheck of every company's original statement</w:t>
            </w:r>
          </w:p>
        </w:tc>
      </w:tr>
      <w:tr>
        <w:trPr>
          <w:cantSplit/>
        </w:trPr>
        <w:tc>
          <w:tcPr>
            <w:tcW w:type="dxa" w:w="729"/>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W2</w:t>
            </w:r>
          </w:p>
        </w:tc>
        <w:tc>
          <w:tcPr>
            <w:tcW w:type="dxa" w:w="437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18">
              <w:r>
                <w:rPr>
                  <w:color w:val="245A81"/>
                  <w:sz w:val="17"/>
                </w:rPr>
                <w:t>Canada Life Annual Report 2025</w:t>
              </w:r>
            </w:hyperlink>
          </w:p>
        </w:tc>
        <w:tc>
          <w:tcPr>
            <w:tcW w:type="dxa" w:w="4534"/>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Printed pp.13, 23–24 / PDF15, 25–26</w:t>
            </w:r>
          </w:p>
        </w:tc>
        <w:tc>
          <w:tcPr>
            <w:tcW w:type="dxa" w:w="518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Original company report read online</w:t>
            </w:r>
          </w:p>
        </w:tc>
      </w:tr>
      <w:tr>
        <w:trPr>
          <w:cantSplit/>
        </w:trPr>
        <w:tc>
          <w:tcPr>
            <w:tcW w:type="dxa" w:w="729"/>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W3</w:t>
            </w:r>
          </w:p>
        </w:tc>
        <w:tc>
          <w:tcPr>
            <w:tcW w:type="dxa" w:w="437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19">
              <w:r>
                <w:rPr>
                  <w:color w:val="245A81"/>
                  <w:sz w:val="17"/>
                </w:rPr>
                <w:t>Prudential plc FY2025 Note A3, SEC filing</w:t>
              </w:r>
            </w:hyperlink>
          </w:p>
        </w:tc>
        <w:tc>
          <w:tcPr>
            <w:tcW w:type="dxa" w:w="4534"/>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Note A3, discount-rate and risk-adjustment sections</w:t>
            </w:r>
          </w:p>
        </w:tc>
        <w:tc>
          <w:tcPr>
            <w:tcW w:type="dxa" w:w="518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Original filing read online; HTML has no PDF-page locator; Group scope</w:t>
            </w:r>
          </w:p>
        </w:tc>
      </w:tr>
      <w:tr>
        <w:trPr>
          <w:cantSplit/>
        </w:trPr>
        <w:tc>
          <w:tcPr>
            <w:tcW w:type="dxa" w:w="729"/>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P1</w:t>
            </w:r>
          </w:p>
        </w:tc>
        <w:tc>
          <w:tcPr>
            <w:tcW w:type="dxa" w:w="437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20">
              <w:r>
                <w:rPr>
                  <w:color w:val="245A81"/>
                  <w:sz w:val="17"/>
                </w:rPr>
                <w:t>PHKL regulatory information index</w:t>
              </w:r>
            </w:hyperlink>
          </w:p>
        </w:tc>
        <w:tc>
          <w:tcPr>
            <w:tcW w:type="dxa" w:w="4534"/>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FY2025 audited financial-statement listing</w:t>
            </w:r>
          </w:p>
        </w:tc>
        <w:tc>
          <w:tcPr>
            <w:tcW w:type="dxa" w:w="518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Index found; target FY2025 PDF retrieval failed. Local-entity claims remain pending</w:t>
            </w:r>
          </w:p>
        </w:tc>
      </w:tr>
      <w:tr>
        <w:trPr>
          <w:cantSplit/>
        </w:trPr>
        <w:tc>
          <w:tcPr>
            <w:tcW w:type="dxa" w:w="729"/>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X1</w:t>
            </w:r>
          </w:p>
        </w:tc>
        <w:tc>
          <w:tcPr>
            <w:tcW w:type="dxa" w:w="437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21">
              <w:r>
                <w:rPr>
                  <w:color w:val="245A81"/>
                  <w:sz w:val="17"/>
                </w:rPr>
                <w:t>IASB additional ownership-interest relief paper</w:t>
              </w:r>
            </w:hyperlink>
          </w:p>
        </w:tc>
        <w:tc>
          <w:tcPr>
            <w:tcW w:type="dxa" w:w="4534"/>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Cover/title and project identification</w:t>
            </w:r>
          </w:p>
        </w:tc>
        <w:tc>
          <w:tcPr>
            <w:tcW w:type="dxa" w:w="5182"/>
            <w:vAlign w:val="center"/>
            <w:shd w:fill="F1F5F7"/>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Excluded: March 2026 equity-method agenda paper</w:t>
            </w:r>
          </w:p>
        </w:tc>
      </w:tr>
      <w:tr>
        <w:trPr>
          <w:cantSplit/>
        </w:trPr>
        <w:tc>
          <w:tcPr>
            <w:tcW w:type="dxa" w:w="729"/>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jc w:val="center"/>
            </w:pPr>
            <w:r>
              <w:rPr>
                <w:color w:val="000000"/>
                <w:sz w:val="17"/>
              </w:rPr>
              <w:t>X2</w:t>
            </w:r>
          </w:p>
        </w:tc>
        <w:tc>
          <w:tcPr>
            <w:tcW w:type="dxa" w:w="437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hyperlink r:id="rId22">
              <w:r>
                <w:rPr>
                  <w:color w:val="245A81"/>
                  <w:sz w:val="17"/>
                </w:rPr>
                <w:t>Proposed IFRS Taxonomy Update, May 2017</w:t>
              </w:r>
            </w:hyperlink>
          </w:p>
        </w:tc>
        <w:tc>
          <w:tcPr>
            <w:tcW w:type="dxa" w:w="4534"/>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Cover/title and document purpose</w:t>
            </w:r>
          </w:p>
        </w:tc>
        <w:tc>
          <w:tcPr>
            <w:tcW w:type="dxa" w:w="5182"/>
            <w:vAlign w:val="center"/>
            <w:shd w:fill="FFFFFF"/>
            <w:tcMar>
              <w:top w:w="50" w:type="dxa"/>
              <w:bottom w:w="50" w:type="dxa"/>
              <w:left w:w="95" w:type="dxa"/>
              <w:right w:w="95" w:type="dxa"/>
            </w:tcMar>
            <w:tcBorders>
              <w:top w:val="single" w:sz="4" w:color="D9D9D9"/>
              <w:left w:val="single" w:sz="4" w:color="D9D9D9"/>
              <w:bottom w:val="single" w:sz="4" w:color="D9D9D9"/>
              <w:right w:val="single" w:sz="4" w:color="D9D9D9"/>
            </w:tcBorders>
          </w:tcPr>
          <w:p>
            <w:pPr>
              <w:spacing w:after="0" w:line="252" w:lineRule="auto"/>
            </w:pPr>
            <w:r>
              <w:rPr>
                <w:color w:val="000000"/>
                <w:sz w:val="17"/>
              </w:rPr>
              <w:t>Excluded as measurement authority: proposed taxonomy material</w:t>
            </w:r>
          </w:p>
        </w:tc>
      </w:tr>
    </w:tbl>
    <w:p>
      <w:pPr>
        <w:spacing w:after="20"/>
      </w:pPr>
    </w:p>
    <w:p>
      <w:r>
        <w:rPr>
          <w:b/>
        </w:rPr>
        <w:t>Prudential-framework boundary:</w:t>
      </w:r>
      <w:r>
        <w:t xml:space="preserve"> A6 Rule 24 describes matching adjustment for the relevant portfolio, including adjusted spread and other prescribed components. This is evidence about the Hong Kong prudential framework. It does not establish a required IFRS 17 ILP for AIA, PHKL or the Hong Kong insurance market.</w:t>
      </w:r>
    </w:p>
    <w:p>
      <w:r>
        <w:rPr>
          <w:b/>
        </w:rPr>
        <w:t>Remaining evidence gaps:</w:t>
      </w:r>
      <w:r>
        <w:t xml:space="preserve"> PHKL FY2025 local-entity assertions; current original statements for all eight companies in the historical Singapore survey; product-specific internal calibration inputs not published externally; and confirmation of any CIA parameter updates after the supplied 2025 note. These gaps are not filled by assumptions or Copilot screenshots.</w:t>
      </w:r>
    </w:p>
    <w:sectPr w:rsidR="00FC693F" w:rsidRPr="0006063C" w:rsidSect="00034616">
      <w:footerReference w:type="default" r:id="rId9"/>
      <w:pgSz w:w="16834" w:h="11909"/>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IFRS 17 market practice comparison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Users/elvirazhong/Documents/ChatGPT/Elvira/output/ilp-research/Internal_Slides_Study_Record.md" TargetMode="External"/><Relationship Id="rId11" Type="http://schemas.openxmlformats.org/officeDocument/2006/relationships/hyperlink" Target="file:///Users/elvirazhong/Desktop/AIA_2025%20Annual%20Results%20Ann.pdf" TargetMode="External"/><Relationship Id="rId12" Type="http://schemas.openxmlformats.org/officeDocument/2006/relationships/hyperlink" Target="file:///Users/elvirazhong/Desktop/great-eastern-holdings-limited-ar-2025.pdf" TargetMode="External"/><Relationship Id="rId13" Type="http://schemas.openxmlformats.org/officeDocument/2006/relationships/hyperlink" Target="file:///Users/elvirazhong/Desktop/Manulife_MFC_SR_2025_Y1_EN.pdf" TargetMode="External"/><Relationship Id="rId14" Type="http://schemas.openxmlformats.org/officeDocument/2006/relationships/hyperlink" Target="file:///Users/elvirazhong/Desktop/Sunlife_2025-slf-form-40-f.pdf" TargetMode="External"/><Relationship Id="rId15" Type="http://schemas.openxmlformats.org/officeDocument/2006/relationships/hyperlink" Target="file:///Users/elvirazhong/Desktop/CIA_225094e.pdf" TargetMode="External"/><Relationship Id="rId16" Type="http://schemas.openxmlformats.org/officeDocument/2006/relationships/hyperlink" Target="file:///Users/elvirazhong/Desktop/Insurance_Rule_2024ln062-e.pdf" TargetMode="External"/><Relationship Id="rId17" Type="http://schemas.openxmlformats.org/officeDocument/2006/relationships/hyperlink" Target="https://www.pwc.com/sg/en/publications/assets/page/ifrs-17-implementation-for-direct-insurers.pdf" TargetMode="External"/><Relationship Id="rId18" Type="http://schemas.openxmlformats.org/officeDocument/2006/relationships/hyperlink" Target="https://www.canadalife.com/content/dam/canadalife/documents/corporate/annual-reports/canada-life-2025-annual-report.pdf" TargetMode="External"/><Relationship Id="rId19" Type="http://schemas.openxmlformats.org/officeDocument/2006/relationships/hyperlink" Target="https://www.sec.gov/Archives/edgar/data/1116578/000162828026021178/R10.htm" TargetMode="External"/><Relationship Id="rId20" Type="http://schemas.openxmlformats.org/officeDocument/2006/relationships/hyperlink" Target="https://www.prudential.com.hk/en/claims-and-services/tools/customer-notices/regulatory-information/" TargetMode="External"/><Relationship Id="rId21" Type="http://schemas.openxmlformats.org/officeDocument/2006/relationships/hyperlink" Target="file:///Users/elvirazhong/Desktop/ap13b-purchase-additional-ownership-interest-relief.pdf" TargetMode="External"/><Relationship Id="rId22" Type="http://schemas.openxmlformats.org/officeDocument/2006/relationships/hyperlink" Target="file:///Users/elvirazhong/Desktop/ptu-ifrs17-insurance-contrac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IFRS 17 Market Practice Comparison</dc:title>
  <dc:subject>Hong Kong Singapore and Canada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