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HSBC ILP 逐页汇报讲稿</w:t>
      </w:r>
    </w:p>
    <w:p>
      <w:pPr>
        <w:keepNext w:val="0"/>
        <w:widowControl/>
        <w:spacing w:after="140"/>
      </w:pPr>
      <w:r>
        <w:rPr>
          <w:rFonts w:eastAsia="Heiti SC"/>
          <w:b w:val="0"/>
          <w:sz w:val="20"/>
        </w:rPr>
        <w:t>Hong Kong  Singapore  Canada</w:t>
      </w:r>
    </w:p>
    <w:p>
      <w:pPr>
        <w:keepNext w:val="0"/>
        <w:widowControl/>
        <w:spacing w:after="100"/>
      </w:pPr>
      <w:r>
        <w:rPr>
          <w:rFonts w:eastAsia="Heiti SC"/>
          <w:b w:val="0"/>
          <w:sz w:val="20"/>
        </w:rPr>
        <w:t xml:space="preserve">第 1–6 页为主汇报，建议预留 </w:t>
      </w:r>
      <w:r>
        <w:rPr>
          <w:rFonts w:eastAsia="Heiti SC"/>
          <w:b/>
          <w:sz w:val="20"/>
        </w:rPr>
        <w:t>5–6 分钟</w:t>
      </w:r>
      <w:r>
        <w:rPr>
          <w:rFonts w:eastAsia="Heiti SC"/>
          <w:b w:val="0"/>
          <w:sz w:val="20"/>
        </w:rPr>
        <w:t xml:space="preserve">；第 7–19 页为 </w:t>
      </w:r>
      <w:r>
        <w:rPr>
          <w:rFonts w:eastAsia="Heiti SC"/>
          <w:b/>
          <w:sz w:val="20"/>
        </w:rPr>
        <w:t>Appendix</w:t>
      </w:r>
      <w:r>
        <w:rPr>
          <w:rFonts w:eastAsia="Heiti SC"/>
          <w:b w:val="0"/>
          <w:sz w:val="20"/>
        </w:rPr>
        <w:t>，领导追问时再展开。正文可直接朗读，加粗部分为关键词或关键数据。</w:t>
      </w:r>
    </w:p>
    <w:p>
      <w:pPr>
        <w:keepNext w:val="0"/>
        <w:widowControl/>
        <w:spacing w:after="160"/>
      </w:pPr>
      <w:r>
        <w:rPr>
          <w:rFonts w:eastAsia="Heiti SC"/>
          <w:b/>
          <w:sz w:val="20"/>
        </w:rPr>
        <w:t>N/A</w:t>
      </w:r>
      <w:r>
        <w:rPr>
          <w:rFonts w:eastAsia="Heiti SC"/>
          <w:b w:val="0"/>
          <w:sz w:val="20"/>
        </w:rPr>
        <w:t xml:space="preserve"> 表示在已核对的资料中，没有披露或没有足够证据确认。页码均对应 PPT slide number。</w:t>
      </w:r>
    </w:p>
    <w:p>
      <w:pPr>
        <w:pStyle w:val="Heading1"/>
        <w:keepNext/>
      </w:pPr>
      <w:r>
        <w:t>第 1 页  Discount Rate Approach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主汇报  约 40 秒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这次我按 </w:t>
      </w:r>
      <w:r>
        <w:rPr>
          <w:rFonts w:eastAsia="Heiti SC"/>
          <w:b/>
        </w:rPr>
        <w:t>component</w:t>
      </w:r>
      <w:r>
        <w:rPr>
          <w:rFonts w:eastAsia="Heiti SC"/>
          <w:b w:val="0"/>
        </w:rPr>
        <w:t xml:space="preserve"> 比较 Hong Kong、Singapore 和 Canada 的 </w:t>
      </w:r>
      <w:r>
        <w:rPr>
          <w:rFonts w:eastAsia="Heiti SC"/>
          <w:b/>
        </w:rPr>
        <w:t>ILP practice</w:t>
      </w:r>
      <w:r>
        <w:rPr>
          <w:rFonts w:eastAsia="Heiti SC"/>
          <w:b w:val="0"/>
        </w:rPr>
        <w:t>，并加入 HSBC 已有的 practice。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首先看 </w:t>
      </w:r>
      <w:r>
        <w:rPr>
          <w:rFonts w:eastAsia="Heiti SC"/>
          <w:b/>
        </w:rPr>
        <w:t>Discount Rate approach</w:t>
      </w:r>
      <w:r>
        <w:rPr>
          <w:rFonts w:eastAsia="Heiti SC"/>
          <w:b w:val="0"/>
        </w:rPr>
        <w:t xml:space="preserve">。HSBC 的相关 disclosure 使用 </w:t>
      </w:r>
      <w:r>
        <w:rPr>
          <w:rFonts w:eastAsia="Heiti SC"/>
          <w:b/>
        </w:rPr>
        <w:t>bottom-up</w:t>
      </w:r>
      <w:r>
        <w:rPr>
          <w:rFonts w:eastAsia="Heiti SC"/>
          <w:b w:val="0"/>
        </w:rPr>
        <w:t xml:space="preserve">；AIA Group 主要使用 </w:t>
      </w:r>
      <w:r>
        <w:rPr>
          <w:rFonts w:eastAsia="Heiti SC"/>
          <w:b/>
        </w:rPr>
        <w:t>top-down</w:t>
      </w:r>
      <w:r>
        <w:rPr>
          <w:rFonts w:eastAsia="Heiti SC"/>
          <w:b w:val="0"/>
        </w:rPr>
        <w:t xml:space="preserve">；Canada Life 则根据是否有 </w:t>
      </w:r>
      <w:r>
        <w:rPr>
          <w:rFonts w:eastAsia="Heiti SC"/>
          <w:b/>
        </w:rPr>
        <w:t>backing assets</w:t>
      </w:r>
      <w:r>
        <w:rPr>
          <w:rFonts w:eastAsia="Heiti SC"/>
          <w:b w:val="0"/>
        </w:rPr>
        <w:t>，使用不同 approach。</w:t>
      </w:r>
    </w:p>
    <w:p>
      <w:pPr>
        <w:keepNext w:val="0"/>
        <w:widowControl/>
      </w:pPr>
      <w:r>
        <w:rPr>
          <w:rFonts w:eastAsia="Heiti SC"/>
          <w:b w:val="0"/>
        </w:rPr>
        <w:t>不过，</w:t>
      </w:r>
      <w:r>
        <w:rPr>
          <w:rFonts w:eastAsia="Heiti SC"/>
          <w:b/>
        </w:rPr>
        <w:t>bottom-up</w:t>
      </w:r>
      <w:r>
        <w:rPr>
          <w:rFonts w:eastAsia="Heiti SC"/>
          <w:b w:val="0"/>
        </w:rPr>
        <w:t xml:space="preserve"> 或 </w:t>
      </w:r>
      <w:r>
        <w:rPr>
          <w:rFonts w:eastAsia="Heiti SC"/>
          <w:b/>
        </w:rPr>
        <w:t>top-down</w:t>
      </w:r>
      <w:r>
        <w:rPr>
          <w:rFonts w:eastAsia="Heiti SC"/>
          <w:b w:val="0"/>
        </w:rPr>
        <w:t xml:space="preserve"> 只说明计算的起点。真正值得比较的是：用了什么 </w:t>
      </w:r>
      <w:r>
        <w:rPr>
          <w:rFonts w:eastAsia="Heiti SC"/>
          <w:b/>
        </w:rPr>
        <w:t>reference spread</w:t>
      </w:r>
      <w:r>
        <w:rPr>
          <w:rFonts w:eastAsia="Heiti SC"/>
          <w:b w:val="0"/>
        </w:rPr>
        <w:t xml:space="preserve">、怎样做 </w:t>
      </w:r>
      <w:r>
        <w:rPr>
          <w:rFonts w:eastAsia="Heiti SC"/>
          <w:b/>
        </w:rPr>
        <w:t>credit adjustment</w:t>
      </w:r>
      <w:r>
        <w:rPr>
          <w:rFonts w:eastAsia="Heiti SC"/>
          <w:b w:val="0"/>
        </w:rPr>
        <w:t xml:space="preserve">、如何反映 </w:t>
      </w:r>
      <w:r>
        <w:rPr>
          <w:rFonts w:eastAsia="Heiti SC"/>
          <w:b/>
        </w:rPr>
        <w:t>liability liquidity</w:t>
      </w:r>
      <w:r>
        <w:rPr>
          <w:rFonts w:eastAsia="Heiti SC"/>
          <w:b w:val="0"/>
        </w:rPr>
        <w:t xml:space="preserve">，以及有没有 </w:t>
      </w:r>
      <w:r>
        <w:rPr>
          <w:rFonts w:eastAsia="Heiti SC"/>
          <w:b/>
        </w:rPr>
        <w:t>floor 或 cap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>另外，资料同时包含 Group 和 local entity disclosure，所以我在表中保留了各自的 scope。</w:t>
      </w:r>
    </w:p>
    <w:p>
      <w:pPr>
        <w:pStyle w:val="Heading1"/>
        <w:keepNext/>
      </w:pPr>
      <w:r>
        <w:t>第 2 页  ILP Approach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主汇报  约 80 秒</w:t>
      </w:r>
    </w:p>
    <w:p>
      <w:pPr>
        <w:keepNext w:val="0"/>
        <w:widowControl/>
      </w:pPr>
      <w:r>
        <w:rPr>
          <w:rFonts w:eastAsia="Heiti SC"/>
          <w:b w:val="0"/>
        </w:rPr>
        <w:t>这一页把各公司的 calculation structure 拆开。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AIA 从 </w:t>
      </w:r>
      <w:r>
        <w:rPr>
          <w:rFonts w:eastAsia="Heiti SC"/>
          <w:b/>
        </w:rPr>
        <w:t>reference portfolio yield</w:t>
      </w:r>
      <w:r>
        <w:rPr>
          <w:rFonts w:eastAsia="Heiti SC"/>
          <w:b w:val="0"/>
        </w:rPr>
        <w:t xml:space="preserve"> 出发，扣除 </w:t>
      </w:r>
      <w:r>
        <w:rPr>
          <w:rFonts w:eastAsia="Heiti SC"/>
          <w:b/>
        </w:rPr>
        <w:t>credit adjustment</w:t>
      </w:r>
      <w:r>
        <w:rPr>
          <w:rFonts w:eastAsia="Heiti SC"/>
          <w:b w:val="0"/>
        </w:rPr>
        <w:t xml:space="preserve"> 和其他不属于 insurance liabilities 的因素；再减去 </w:t>
      </w:r>
      <w:r>
        <w:rPr>
          <w:rFonts w:eastAsia="Heiti SC"/>
          <w:b/>
        </w:rPr>
        <w:t>RFR</w:t>
      </w:r>
      <w:r>
        <w:rPr>
          <w:rFonts w:eastAsia="Heiti SC"/>
          <w:b w:val="0"/>
        </w:rPr>
        <w:t xml:space="preserve">，就可以表达为 implied </w:t>
      </w:r>
      <w:r>
        <w:rPr>
          <w:rFonts w:eastAsia="Heiti SC"/>
          <w:b/>
        </w:rPr>
        <w:t>ILP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Prudential 先计算 </w:t>
      </w:r>
      <w:r>
        <w:rPr>
          <w:rFonts w:eastAsia="Heiti SC"/>
          <w:b/>
        </w:rPr>
        <w:t>reference ILP</w:t>
      </w:r>
      <w:r>
        <w:rPr>
          <w:rFonts w:eastAsia="Heiti SC"/>
          <w:b w:val="0"/>
        </w:rPr>
        <w:t xml:space="preserve">，再乘以产品的 </w:t>
      </w:r>
      <w:r>
        <w:rPr>
          <w:rFonts w:eastAsia="Heiti SC"/>
          <w:b/>
        </w:rPr>
        <w:t>application ratio</w:t>
      </w:r>
      <w:r>
        <w:rPr>
          <w:rFonts w:eastAsia="Heiti SC"/>
          <w:b w:val="0"/>
        </w:rPr>
        <w:t xml:space="preserve">。公开披露的比例包括 </w:t>
      </w:r>
      <w:r>
        <w:rPr>
          <w:rFonts w:eastAsia="Heiti SC"/>
          <w:b/>
        </w:rPr>
        <w:t>0%、50% 和 100%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Great Eastern 也是使用 </w:t>
      </w:r>
      <w:r>
        <w:rPr>
          <w:rFonts w:eastAsia="Heiti SC"/>
          <w:b/>
        </w:rPr>
        <w:t>credit-adjusted reference spread</w:t>
      </w:r>
      <w:r>
        <w:rPr>
          <w:rFonts w:eastAsia="Heiti SC"/>
          <w:b w:val="0"/>
        </w:rPr>
        <w:t xml:space="preserve">，但会通过产品的 </w:t>
      </w:r>
      <w:r>
        <w:rPr>
          <w:rFonts w:eastAsia="Heiti SC"/>
          <w:b/>
        </w:rPr>
        <w:t>liquidity scoring</w:t>
      </w:r>
      <w:r>
        <w:rPr>
          <w:rFonts w:eastAsia="Heiti SC"/>
          <w:b w:val="0"/>
        </w:rPr>
        <w:t xml:space="preserve">，决定适用的 </w:t>
      </w:r>
      <w:r>
        <w:rPr>
          <w:rFonts w:eastAsia="Heiti SC"/>
          <w:b/>
        </w:rPr>
        <w:t>application ratio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Sun Life 更明确地把 </w:t>
      </w:r>
      <w:r>
        <w:rPr>
          <w:rFonts w:eastAsia="Heiti SC"/>
          <w:b/>
        </w:rPr>
        <w:t>expected credit losses</w:t>
      </w:r>
      <w:r>
        <w:rPr>
          <w:rFonts w:eastAsia="Heiti SC"/>
          <w:b w:val="0"/>
        </w:rPr>
        <w:t xml:space="preserve"> 和 </w:t>
      </w:r>
      <w:r>
        <w:rPr>
          <w:rFonts w:eastAsia="Heiti SC"/>
          <w:b/>
        </w:rPr>
        <w:t>unexpected credit losses</w:t>
      </w:r>
      <w:r>
        <w:rPr>
          <w:rFonts w:eastAsia="Heiti SC"/>
          <w:b w:val="0"/>
        </w:rPr>
        <w:t xml:space="preserve"> 从 reference spread 中扣除。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CIA 讨论的一个 </w:t>
      </w:r>
      <w:r>
        <w:rPr>
          <w:rFonts w:eastAsia="Heiti SC"/>
          <w:b/>
        </w:rPr>
        <w:t>bottom-up implementation</w:t>
      </w:r>
      <w:r>
        <w:rPr>
          <w:rFonts w:eastAsia="Heiti SC"/>
          <w:b w:val="0"/>
        </w:rPr>
        <w:t xml:space="preserve"> 是：</w:t>
      </w:r>
      <w:r>
        <w:rPr>
          <w:rFonts w:eastAsia="Heiti SC"/>
          <w:b/>
        </w:rPr>
        <w:t>ILP equals r times reference asset spread, plus c</w:t>
      </w:r>
      <w:r>
        <w:rPr>
          <w:rFonts w:eastAsia="Heiti SC"/>
          <w:b w:val="0"/>
        </w:rPr>
        <w:t>。这里，</w:t>
      </w:r>
      <w:r>
        <w:rPr>
          <w:rFonts w:eastAsia="Heiti SC"/>
          <w:b/>
        </w:rPr>
        <w:t>r</w:t>
      </w:r>
      <w:r>
        <w:rPr>
          <w:rFonts w:eastAsia="Heiti SC"/>
          <w:b w:val="0"/>
        </w:rPr>
        <w:t xml:space="preserve"> 是移除 credit-related components 后保留的 spread 比例；</w:t>
      </w:r>
      <w:r>
        <w:rPr>
          <w:rFonts w:eastAsia="Heiti SC"/>
          <w:b/>
        </w:rPr>
        <w:t>c</w:t>
      </w:r>
      <w:r>
        <w:rPr>
          <w:rFonts w:eastAsia="Heiti SC"/>
          <w:b w:val="0"/>
        </w:rPr>
        <w:t xml:space="preserve"> 则处理 reference assets 与 insurance liabilities 的 </w:t>
      </w:r>
      <w:r>
        <w:rPr>
          <w:rFonts w:eastAsia="Heiti SC"/>
          <w:b/>
        </w:rPr>
        <w:t>liquidity difference</w:t>
      </w:r>
      <w:r>
        <w:rPr>
          <w:rFonts w:eastAsia="Heiti SC"/>
          <w:b w:val="0"/>
        </w:rPr>
        <w:t>，两者作用不同。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有公开数据时可以做实际计算。例如，AIA Group 的 HKD 10-year total rate 是 </w:t>
      </w:r>
      <w:r>
        <w:rPr>
          <w:rFonts w:eastAsia="Heiti SC"/>
          <w:b/>
        </w:rPr>
        <w:t>3.91%</w:t>
      </w:r>
      <w:r>
        <w:rPr>
          <w:rFonts w:eastAsia="Heiti SC"/>
          <w:b w:val="0"/>
        </w:rPr>
        <w:t xml:space="preserve">，RFR 是 </w:t>
      </w:r>
      <w:r>
        <w:rPr>
          <w:rFonts w:eastAsia="Heiti SC"/>
          <w:b/>
        </w:rPr>
        <w:t>3.10%</w:t>
      </w:r>
      <w:r>
        <w:rPr>
          <w:rFonts w:eastAsia="Heiti SC"/>
          <w:b w:val="0"/>
        </w:rPr>
        <w:t xml:space="preserve">，相减得到 </w:t>
      </w:r>
      <w:r>
        <w:rPr>
          <w:rFonts w:eastAsia="Heiti SC"/>
          <w:b/>
        </w:rPr>
        <w:t>81 bps</w:t>
      </w:r>
      <w:r>
        <w:rPr>
          <w:rFonts w:eastAsia="Heiti SC"/>
          <w:b w:val="0"/>
        </w:rPr>
        <w:t>。其他只披露 total rate 的公司，我没有强行拆出 ILP。</w:t>
      </w:r>
    </w:p>
    <w:p>
      <w:r>
        <w:br w:type="page"/>
      </w:r>
    </w:p>
    <w:p>
      <w:pPr>
        <w:pStyle w:val="Heading1"/>
        <w:keepNext/>
      </w:pPr>
      <w:r>
        <w:t>第 3 页  Credit Spread Component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主汇报  约 55 秒</w:t>
      </w:r>
    </w:p>
    <w:p>
      <w:pPr>
        <w:keepNext w:val="0"/>
        <w:widowControl/>
      </w:pPr>
      <w:r>
        <w:rPr>
          <w:rFonts w:eastAsia="Heiti SC"/>
          <w:b w:val="0"/>
        </w:rPr>
        <w:t xml:space="preserve">接下来比较 </w:t>
      </w:r>
      <w:r>
        <w:rPr>
          <w:rFonts w:eastAsia="Heiti SC"/>
          <w:b/>
        </w:rPr>
        <w:t>credit adjustment</w:t>
      </w:r>
      <w:r>
        <w:rPr>
          <w:rFonts w:eastAsia="Heiti SC"/>
          <w:b w:val="0"/>
        </w:rPr>
        <w:t>，因为完整的 asset spread 不能直接当作 ILP。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Prudential 使用 </w:t>
      </w:r>
      <w:r>
        <w:rPr>
          <w:rFonts w:eastAsia="Heiti SC"/>
          <w:b/>
        </w:rPr>
        <w:t>lifetime projection</w:t>
      </w:r>
      <w:r>
        <w:rPr>
          <w:rFonts w:eastAsia="Heiti SC"/>
          <w:b w:val="0"/>
        </w:rPr>
        <w:t xml:space="preserve">，考虑 </w:t>
      </w:r>
      <w:r>
        <w:rPr>
          <w:rFonts w:eastAsia="Heiti SC"/>
          <w:b/>
        </w:rPr>
        <w:t>default 和 downgrade</w:t>
      </w:r>
      <w:r>
        <w:rPr>
          <w:rFonts w:eastAsia="Heiti SC"/>
          <w:b w:val="0"/>
        </w:rPr>
        <w:t xml:space="preserve">；2025 year-end 披露的 </w:t>
      </w:r>
      <w:r>
        <w:rPr>
          <w:rFonts w:eastAsia="Heiti SC"/>
          <w:b/>
        </w:rPr>
        <w:t>credit risk allowance</w:t>
      </w:r>
      <w:r>
        <w:rPr>
          <w:rFonts w:eastAsia="Heiti SC"/>
          <w:b w:val="0"/>
        </w:rPr>
        <w:t xml:space="preserve"> 是 </w:t>
      </w:r>
      <w:r>
        <w:rPr>
          <w:rFonts w:eastAsia="Heiti SC"/>
          <w:b/>
        </w:rPr>
        <w:t>6–32 bps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Sun Life 使用 </w:t>
      </w:r>
      <w:r>
        <w:rPr>
          <w:rFonts w:eastAsia="Heiti SC"/>
          <w:b/>
        </w:rPr>
        <w:t>rating agency historical data</w:t>
      </w:r>
      <w:r>
        <w:rPr>
          <w:rFonts w:eastAsia="Heiti SC"/>
          <w:b w:val="0"/>
        </w:rPr>
        <w:t xml:space="preserve"> 和 current market information，并按 </w:t>
      </w:r>
      <w:r>
        <w:rPr>
          <w:rFonts w:eastAsia="Heiti SC"/>
          <w:b/>
        </w:rPr>
        <w:t>asset type、credit quality 和 duration</w:t>
      </w:r>
      <w:r>
        <w:rPr>
          <w:rFonts w:eastAsia="Heiti SC"/>
          <w:b w:val="0"/>
        </w:rPr>
        <w:t xml:space="preserve"> 区分 expected 和 unexpected credit losses。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Great Eastern 披露了使用 </w:t>
      </w:r>
      <w:r>
        <w:rPr>
          <w:rFonts w:eastAsia="Heiti SC"/>
          <w:b/>
        </w:rPr>
        <w:t>credit-risk-adjusted market spread</w:t>
      </w:r>
      <w:r>
        <w:rPr>
          <w:rFonts w:eastAsia="Heiti SC"/>
          <w:b w:val="0"/>
        </w:rPr>
        <w:t xml:space="preserve">，但具体 deduction model 和金额是 </w:t>
      </w:r>
      <w:r>
        <w:rPr>
          <w:rFonts w:eastAsia="Heiti SC"/>
          <w:b/>
        </w:rPr>
        <w:t>N/A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对照 HSBC 内部材料，HSIC 有 </w:t>
      </w:r>
      <w:r>
        <w:rPr>
          <w:rFonts w:eastAsia="Heiti SC"/>
          <w:b/>
        </w:rPr>
        <w:t>85% / 15% 的 rating mix</w:t>
      </w:r>
      <w:r>
        <w:rPr>
          <w:rFonts w:eastAsia="Heiti SC"/>
          <w:b w:val="0"/>
        </w:rPr>
        <w:t xml:space="preserve">，以及 </w:t>
      </w:r>
      <w:r>
        <w:rPr>
          <w:rFonts w:eastAsia="Heiti SC"/>
          <w:b/>
        </w:rPr>
        <w:t>+10 bps 的 swap-basis adjustment</w:t>
      </w:r>
      <w:r>
        <w:rPr>
          <w:rFonts w:eastAsia="Heiti SC"/>
          <w:b w:val="0"/>
        </w:rPr>
        <w:t>。这说明内部 reference spread 的构造有明确处理，但这个 +10 bps 的用途，与同业的 credit deduction 不同，不能直接放在同一栏比较大小。</w:t>
      </w:r>
    </w:p>
    <w:p>
      <w:pPr>
        <w:pStyle w:val="Heading1"/>
        <w:keepNext/>
      </w:pPr>
      <w:r>
        <w:t>第 4 页  Calibration Floors and Caps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主汇报  约 60 秒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这一页重点看 </w:t>
      </w:r>
      <w:r>
        <w:rPr>
          <w:rFonts w:eastAsia="Heiti SC"/>
          <w:b/>
        </w:rPr>
        <w:t>calibration、floor 和 cap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Prudential 披露了一个 </w:t>
      </w:r>
      <w:r>
        <w:rPr>
          <w:rFonts w:eastAsia="Heiti SC"/>
          <w:b/>
        </w:rPr>
        <w:t>asset-earning cap</w:t>
      </w:r>
      <w:r>
        <w:rPr>
          <w:rFonts w:eastAsia="Heiti SC"/>
          <w:b w:val="0"/>
        </w:rPr>
        <w:t>：ILP 不能超过在 contract duration 内，合理预期可以从 backing assets 赚取的 premium。不过，具体 numeric cap 没有披露。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其他公司的日常 </w:t>
      </w:r>
      <w:r>
        <w:rPr>
          <w:rFonts w:eastAsia="Heiti SC"/>
          <w:b/>
        </w:rPr>
        <w:t>ILP floor 或 cap</w:t>
      </w:r>
      <w:r>
        <w:rPr>
          <w:rFonts w:eastAsia="Heiti SC"/>
          <w:b w:val="0"/>
        </w:rPr>
        <w:t xml:space="preserve">，在本次核对的资料中大多是 </w:t>
      </w:r>
      <w:r>
        <w:rPr>
          <w:rFonts w:eastAsia="Heiti SC"/>
          <w:b/>
        </w:rPr>
        <w:t>N/A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这里有两个容易混淆的地方。第一，Sun Life 的 </w:t>
      </w:r>
      <w:r>
        <w:rPr>
          <w:rFonts w:eastAsia="Heiti SC"/>
          <w:b/>
        </w:rPr>
        <w:t>zero credit-spread floor</w:t>
      </w:r>
      <w:r>
        <w:rPr>
          <w:rFonts w:eastAsia="Heiti SC"/>
          <w:b w:val="0"/>
        </w:rPr>
        <w:t xml:space="preserve"> 出现在 sensitivity scenario 中，不能当作日常 ILP floor。第二，CIA 对 </w:t>
      </w:r>
      <w:r>
        <w:rPr>
          <w:rFonts w:eastAsia="Heiti SC"/>
          <w:b/>
        </w:rPr>
        <w:t>unobservable period</w:t>
      </w:r>
      <w:r>
        <w:rPr>
          <w:rFonts w:eastAsia="Heiti SC"/>
          <w:b w:val="0"/>
        </w:rPr>
        <w:t xml:space="preserve"> 有 </w:t>
      </w:r>
      <w:r>
        <w:rPr>
          <w:rFonts w:eastAsia="Heiti SC"/>
          <w:b/>
        </w:rPr>
        <w:t>PV comparison constraint</w:t>
      </w:r>
      <w:r>
        <w:rPr>
          <w:rFonts w:eastAsia="Heiti SC"/>
          <w:b w:val="0"/>
        </w:rPr>
        <w:t xml:space="preserve">，也不是历史 </w:t>
      </w:r>
      <w:r>
        <w:rPr>
          <w:rFonts w:eastAsia="Heiti SC"/>
          <w:b/>
        </w:rPr>
        <w:t>P10 floor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HSBC 的 INSH 内部材料展示了 </w:t>
      </w:r>
      <w:r>
        <w:rPr>
          <w:rFonts w:eastAsia="Heiti SC"/>
          <w:b/>
        </w:rPr>
        <w:t>18 bps 的 current spread、21 bps 的 P10 和 23 bps 的 3-year average</w:t>
      </w:r>
      <w:r>
        <w:rPr>
          <w:rFonts w:eastAsia="Heiti SC"/>
          <w:b w:val="0"/>
        </w:rPr>
        <w:t>。这些是有用的 calibration evidence，但目前不能据此确认 21 bps 已经成为正式采用的 floor。</w:t>
      </w:r>
    </w:p>
    <w:p>
      <w:r>
        <w:br w:type="page"/>
      </w:r>
    </w:p>
    <w:p>
      <w:pPr>
        <w:pStyle w:val="Heading1"/>
        <w:keepNext/>
      </w:pPr>
      <w:r>
        <w:t>第 5 页  Lapse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主汇报  约 35 秒</w:t>
      </w:r>
    </w:p>
    <w:p>
      <w:pPr>
        <w:keepNext w:val="0"/>
        <w:widowControl/>
      </w:pPr>
      <w:r>
        <w:rPr>
          <w:rFonts w:eastAsia="Heiti SC"/>
          <w:b/>
        </w:rPr>
        <w:t>Lapse</w:t>
      </w:r>
      <w:r>
        <w:rPr>
          <w:rFonts w:eastAsia="Heiti SC"/>
          <w:b w:val="0"/>
        </w:rPr>
        <w:t xml:space="preserve"> 与 ILP 的联系，主要在于它会影响 insurance liabilities 的 </w:t>
      </w:r>
      <w:r>
        <w:rPr>
          <w:rFonts w:eastAsia="Heiti SC"/>
          <w:b/>
        </w:rPr>
        <w:t>liquidity characteristics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Sun Life 通常参考 </w:t>
      </w:r>
      <w:r>
        <w:rPr>
          <w:rFonts w:eastAsia="Heiti SC"/>
          <w:b/>
        </w:rPr>
        <w:t>five-year experience</w:t>
      </w:r>
      <w:r>
        <w:rPr>
          <w:rFonts w:eastAsia="Heiti SC"/>
          <w:b w:val="0"/>
        </w:rPr>
        <w:t xml:space="preserve">；Great Eastern 会按 </w:t>
      </w:r>
      <w:r>
        <w:rPr>
          <w:rFonts w:eastAsia="Heiti SC"/>
          <w:b/>
        </w:rPr>
        <w:t>product 和 policy year</w:t>
      </w:r>
      <w:r>
        <w:rPr>
          <w:rFonts w:eastAsia="Heiti SC"/>
          <w:b w:val="0"/>
        </w:rPr>
        <w:t xml:space="preserve"> 区分，经验不足时参考 similar products。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Prudential 把 </w:t>
      </w:r>
      <w:r>
        <w:rPr>
          <w:rFonts w:eastAsia="Heiti SC"/>
          <w:b/>
        </w:rPr>
        <w:t>surrender features</w:t>
      </w:r>
      <w:r>
        <w:rPr>
          <w:rFonts w:eastAsia="Heiti SC"/>
          <w:b w:val="0"/>
        </w:rPr>
        <w:t xml:space="preserve"> 纳入 liquidity assessment，但没有披露一条通用的 </w:t>
      </w:r>
      <w:r>
        <w:rPr>
          <w:rFonts w:eastAsia="Heiti SC"/>
          <w:b/>
        </w:rPr>
        <w:t>lapse-to-ILP formula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HSBC Singapore 的 participating business 也披露了 </w:t>
      </w:r>
      <w:r>
        <w:rPr>
          <w:rFonts w:eastAsia="Heiti SC"/>
          <w:b/>
        </w:rPr>
        <w:t>net CSM sensitivity</w:t>
      </w:r>
      <w:r>
        <w:rPr>
          <w:rFonts w:eastAsia="Heiti SC"/>
          <w:b w:val="0"/>
        </w:rPr>
        <w:t xml:space="preserve">：lapse 增加 10% 时约减少 </w:t>
      </w:r>
      <w:r>
        <w:rPr>
          <w:rFonts w:eastAsia="Heiti SC"/>
          <w:b/>
        </w:rPr>
        <w:t>S$42.5 million</w:t>
      </w:r>
      <w:r>
        <w:rPr>
          <w:rFonts w:eastAsia="Heiti SC"/>
          <w:b w:val="0"/>
        </w:rPr>
        <w:t xml:space="preserve">，减少 10% 时约增加 </w:t>
      </w:r>
      <w:r>
        <w:rPr>
          <w:rFonts w:eastAsia="Heiti SC"/>
          <w:b/>
        </w:rPr>
        <w:t>S$45.9 million</w:t>
      </w:r>
      <w:r>
        <w:rPr>
          <w:rFonts w:eastAsia="Heiti SC"/>
          <w:b w:val="0"/>
        </w:rPr>
        <w:t>。这是 sensitivity impact，不是实际 lapse rate。</w:t>
      </w:r>
    </w:p>
    <w:p>
      <w:pPr>
        <w:pStyle w:val="Heading1"/>
        <w:keepNext/>
      </w:pPr>
      <w:r>
        <w:t>第 6 页  Risk Adjustment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主汇报  约 35 秒</w:t>
      </w:r>
    </w:p>
    <w:p>
      <w:pPr>
        <w:keepNext w:val="0"/>
        <w:widowControl/>
      </w:pPr>
      <w:r>
        <w:rPr>
          <w:rFonts w:eastAsia="Heiti SC"/>
          <w:b w:val="0"/>
        </w:rPr>
        <w:t xml:space="preserve">最后是 </w:t>
      </w:r>
      <w:r>
        <w:rPr>
          <w:rFonts w:eastAsia="Heiti SC"/>
          <w:b/>
        </w:rPr>
        <w:t>Risk Adjustment，简称 RA</w:t>
      </w:r>
      <w:r>
        <w:rPr>
          <w:rFonts w:eastAsia="Heiti SC"/>
          <w:b w:val="0"/>
        </w:rPr>
        <w:t>。它是独立 component，不能与 ILP 混在一起。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AIA 和 Great Eastern 使用 </w:t>
      </w:r>
      <w:r>
        <w:rPr>
          <w:rFonts w:eastAsia="Heiti SC"/>
          <w:b/>
        </w:rPr>
        <w:t>confidence-level approach</w:t>
      </w:r>
      <w:r>
        <w:rPr>
          <w:rFonts w:eastAsia="Heiti SC"/>
          <w:b w:val="0"/>
        </w:rPr>
        <w:t xml:space="preserve">，可以表达为相应 percentile 的 </w:t>
      </w:r>
      <w:r>
        <w:rPr>
          <w:rFonts w:eastAsia="Heiti SC"/>
          <w:b/>
        </w:rPr>
        <w:t>VaR，减去 expected present value</w:t>
      </w:r>
      <w:r>
        <w:rPr>
          <w:rFonts w:eastAsia="Heiti SC"/>
          <w:b w:val="0"/>
        </w:rPr>
        <w:t xml:space="preserve">。加拿大公司的 disclosure 则包括 </w:t>
      </w:r>
      <w:r>
        <w:rPr>
          <w:rFonts w:eastAsia="Heiti SC"/>
          <w:b/>
        </w:rPr>
        <w:t>assumption margin approach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这里不能只比较 75th、85th 或 90th percentile，就判断哪家公司更 conservative；还需要看 </w:t>
      </w:r>
      <w:r>
        <w:rPr>
          <w:rFonts w:eastAsia="Heiti SC"/>
          <w:b/>
        </w:rPr>
        <w:t>time horizon、diversification 和 reinsurance basis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整体来看，最有价值的 market comparison，是把 ILP 拆成 </w:t>
      </w:r>
      <w:r>
        <w:rPr>
          <w:rFonts w:eastAsia="Heiti SC"/>
          <w:b/>
        </w:rPr>
        <w:t>reference spread、credit adjustment、liquidity adjustment 和 floor/cap</w:t>
      </w:r>
      <w:r>
        <w:rPr>
          <w:rFonts w:eastAsia="Heiti SC"/>
          <w:b w:val="0"/>
        </w:rPr>
        <w:t>。目前能确认的 calculation structure 已经列出，未披露的参数保留 N/A。后面的 Appendix 提供详细公式和数据支持。</w:t>
      </w:r>
    </w:p>
    <w:p>
      <w:pPr>
        <w:keepNext w:val="0"/>
        <w:widowControl/>
        <w:spacing w:before="140"/>
      </w:pPr>
      <w:r>
        <w:rPr>
          <w:rFonts w:eastAsia="Heiti SC"/>
          <w:b/>
          <w:sz w:val="20"/>
        </w:rPr>
        <w:t>讲者提示</w:t>
      </w:r>
      <w:r>
        <w:rPr>
          <w:rFonts w:eastAsia="Heiti SC"/>
          <w:b w:val="0"/>
          <w:sz w:val="20"/>
        </w:rPr>
        <w:t xml:space="preserve">  主汇报到这里结束，停下来让领导提问。</w:t>
      </w:r>
    </w:p>
    <w:p>
      <w:r>
        <w:br w:type="page"/>
      </w:r>
    </w:p>
    <w:p>
      <w:pPr>
        <w:pStyle w:val="Title"/>
      </w:pPr>
      <w:r>
        <w:t>Appendix 备答讲稿</w:t>
      </w:r>
    </w:p>
    <w:p>
      <w:pPr>
        <w:keepNext w:val="0"/>
        <w:widowControl/>
        <w:spacing w:after="140"/>
      </w:pPr>
      <w:r>
        <w:rPr>
          <w:rFonts w:eastAsia="Heiti SC"/>
          <w:b w:val="0"/>
          <w:sz w:val="20"/>
        </w:rPr>
        <w:t>按问题选择对应页，不需要连续讲完。</w:t>
      </w:r>
    </w:p>
    <w:p>
      <w:pPr>
        <w:pStyle w:val="Heading1"/>
        <w:keepNext/>
      </w:pPr>
      <w:r>
        <w:t>第 7 页  Appendix A  HSBC Reinvestment Spread Data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这一页是 HSBC 内部的 </w:t>
      </w:r>
      <w:r>
        <w:rPr>
          <w:rFonts w:eastAsia="Heiti SC"/>
          <w:b/>
        </w:rPr>
        <w:t>reinvestment spread assumptions</w:t>
      </w:r>
      <w:r>
        <w:rPr>
          <w:rFonts w:eastAsia="Heiti SC"/>
          <w:b w:val="0"/>
        </w:rPr>
        <w:t>，用于解释 calibration 的背景，不能直接当作最终 ILP。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例如，HSIC 的 HKD 10-year </w:t>
      </w:r>
      <w:r>
        <w:rPr>
          <w:rFonts w:eastAsia="Heiti SC"/>
          <w:b/>
        </w:rPr>
        <w:t>3-year average</w:t>
      </w:r>
      <w:r>
        <w:rPr>
          <w:rFonts w:eastAsia="Heiti SC"/>
          <w:b w:val="0"/>
        </w:rPr>
        <w:t xml:space="preserve"> 是 </w:t>
      </w:r>
      <w:r>
        <w:rPr>
          <w:rFonts w:eastAsia="Heiti SC"/>
          <w:b/>
        </w:rPr>
        <w:t>80 bps</w:t>
      </w:r>
      <w:r>
        <w:rPr>
          <w:rFonts w:eastAsia="Heiti SC"/>
          <w:b w:val="0"/>
        </w:rPr>
        <w:t>，</w:t>
      </w:r>
      <w:r>
        <w:rPr>
          <w:rFonts w:eastAsia="Heiti SC"/>
          <w:b/>
        </w:rPr>
        <w:t>10-year average</w:t>
      </w:r>
      <w:r>
        <w:rPr>
          <w:rFonts w:eastAsia="Heiti SC"/>
          <w:b w:val="0"/>
        </w:rPr>
        <w:t xml:space="preserve"> 是 </w:t>
      </w:r>
      <w:r>
        <w:rPr>
          <w:rFonts w:eastAsia="Heiti SC"/>
          <w:b/>
        </w:rPr>
        <w:t>109 bps</w:t>
      </w:r>
      <w:r>
        <w:rPr>
          <w:rFonts w:eastAsia="Heiti SC"/>
          <w:b w:val="0"/>
        </w:rPr>
        <w:t xml:space="preserve">，assumption 是 </w:t>
      </w:r>
      <w:r>
        <w:rPr>
          <w:rFonts w:eastAsia="Heiti SC"/>
          <w:b/>
        </w:rPr>
        <w:t>105 bps</w:t>
      </w:r>
      <w:r>
        <w:rPr>
          <w:rFonts w:eastAsia="Heiti SC"/>
          <w:b w:val="0"/>
        </w:rPr>
        <w:t>。说明 assumption 并不是机械地等于最新的 three-year average。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INHK 的 USD 10-year assumption 是 </w:t>
      </w:r>
      <w:r>
        <w:rPr>
          <w:rFonts w:eastAsia="Heiti SC"/>
          <w:b/>
        </w:rPr>
        <w:t>100 bps</w:t>
      </w:r>
      <w:r>
        <w:rPr>
          <w:rFonts w:eastAsia="Heiti SC"/>
          <w:b w:val="0"/>
        </w:rPr>
        <w:t xml:space="preserve">，而 10-year average 是 </w:t>
      </w:r>
      <w:r>
        <w:rPr>
          <w:rFonts w:eastAsia="Heiti SC"/>
          <w:b/>
        </w:rPr>
        <w:t>121 bps</w:t>
      </w:r>
      <w:r>
        <w:rPr>
          <w:rFonts w:eastAsia="Heiti SC"/>
          <w:b w:val="0"/>
        </w:rPr>
        <w:t>。这些数据可以支持讨论 lookback period 和 judgment，但内部 study 或 proposal 仍需与正式批准的 policy 区分。</w:t>
      </w:r>
    </w:p>
    <w:p>
      <w:pPr>
        <w:pStyle w:val="Heading1"/>
        <w:keepNext/>
      </w:pPr>
      <w:r>
        <w:t>第 8 页  Appendix B  HSIC Applied ILP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这一页展示 HSIC 不同 business categories 的 </w:t>
      </w:r>
      <w:r>
        <w:rPr>
          <w:rFonts w:eastAsia="Heiti SC"/>
          <w:b/>
        </w:rPr>
        <w:t>current 和 proposed ILP</w:t>
      </w:r>
      <w:r>
        <w:rPr>
          <w:rFonts w:eastAsia="Heiti SC"/>
          <w:b w:val="0"/>
        </w:rPr>
        <w:t>。横轴是 business category，不是时间。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整体变化较小。例如 </w:t>
      </w:r>
      <w:r>
        <w:rPr>
          <w:rFonts w:eastAsia="Heiti SC"/>
          <w:b/>
        </w:rPr>
        <w:t>WL 从 65.5 增至 65.8 bps</w:t>
      </w:r>
      <w:r>
        <w:rPr>
          <w:rFonts w:eastAsia="Heiti SC"/>
          <w:b w:val="0"/>
        </w:rPr>
        <w:t>；</w:t>
      </w:r>
      <w:r>
        <w:rPr>
          <w:rFonts w:eastAsia="Heiti SC"/>
          <w:b/>
        </w:rPr>
        <w:t>60GA 从 57.2 降至 56.5 bps</w:t>
      </w:r>
      <w:r>
        <w:rPr>
          <w:rFonts w:eastAsia="Heiti SC"/>
          <w:b w:val="0"/>
        </w:rPr>
        <w:t>；SPD 和 STE 在展示精度下没有变化。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来源把整体下降主要归因于 </w:t>
      </w:r>
      <w:r>
        <w:rPr>
          <w:rFonts w:eastAsia="Heiti SC"/>
          <w:b/>
        </w:rPr>
        <w:t>growth asset assumption</w:t>
      </w:r>
      <w:r>
        <w:rPr>
          <w:rFonts w:eastAsia="Heiti SC"/>
          <w:b w:val="0"/>
        </w:rPr>
        <w:t xml:space="preserve"> 增加，并记录约 </w:t>
      </w:r>
      <w:r>
        <w:rPr>
          <w:rFonts w:eastAsia="Heiti SC"/>
          <w:b/>
        </w:rPr>
        <w:t>negative US$1.3 million 的 CSM impact</w:t>
      </w:r>
      <w:r>
        <w:rPr>
          <w:rFonts w:eastAsia="Heiti SC"/>
          <w:b w:val="0"/>
        </w:rPr>
        <w:t>，PBT impact 较小。</w:t>
      </w:r>
    </w:p>
    <w:p>
      <w:pPr>
        <w:keepNext w:val="0"/>
        <w:widowControl/>
      </w:pPr>
      <w:r>
        <w:rPr>
          <w:rFonts w:eastAsia="Heiti SC"/>
          <w:b w:val="0"/>
        </w:rPr>
        <w:t>因此，这里能说明 ILP 会受 portfolio assumptions 影响，但不能说所有 categories 都下降了。</w:t>
      </w:r>
    </w:p>
    <w:p>
      <w:pPr>
        <w:pStyle w:val="Heading1"/>
        <w:keepNext/>
      </w:pPr>
      <w:r>
        <w:t>第 9 页  Appendix C  Published HSBC Discount Curves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这一页是 HSBC 公开披露的 </w:t>
      </w:r>
      <w:r>
        <w:rPr>
          <w:rFonts w:eastAsia="Heiti SC"/>
          <w:b/>
        </w:rPr>
        <w:t>total discount curves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例如，2025 year-end，HSBC Life International 的 HKD 10-year rate 是 </w:t>
      </w:r>
      <w:r>
        <w:rPr>
          <w:rFonts w:eastAsia="Heiti SC"/>
          <w:b/>
        </w:rPr>
        <w:t>3.74%</w:t>
      </w:r>
      <w:r>
        <w:rPr>
          <w:rFonts w:eastAsia="Heiti SC"/>
          <w:b w:val="0"/>
        </w:rPr>
        <w:t xml:space="preserve">，HSIC 是 </w:t>
      </w:r>
      <w:r>
        <w:rPr>
          <w:rFonts w:eastAsia="Heiti SC"/>
          <w:b/>
        </w:rPr>
        <w:t>3.85%</w:t>
      </w:r>
      <w:r>
        <w:rPr>
          <w:rFonts w:eastAsia="Heiti SC"/>
          <w:b w:val="0"/>
        </w:rPr>
        <w:t xml:space="preserve">；HSBC Singapore 的 SGD 10-year rate 是 </w:t>
      </w:r>
      <w:r>
        <w:rPr>
          <w:rFonts w:eastAsia="Heiti SC"/>
          <w:b/>
        </w:rPr>
        <w:t>2.46%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这些都是 </w:t>
      </w:r>
      <w:r>
        <w:rPr>
          <w:rFonts w:eastAsia="Heiti SC"/>
          <w:b/>
        </w:rPr>
        <w:t>total discount rates</w:t>
      </w:r>
      <w:r>
        <w:rPr>
          <w:rFonts w:eastAsia="Heiti SC"/>
          <w:b w:val="0"/>
        </w:rPr>
        <w:t>，并不是 standalone ILP。不同 entity 的 business mix 和 liability characteristics 也不同，所以可以展示 curve 的差异，但不能直接把差额全部解释为 ILP difference。</w:t>
      </w:r>
    </w:p>
    <w:p>
      <w:r>
        <w:br w:type="page"/>
      </w:r>
    </w:p>
    <w:p>
      <w:pPr>
        <w:pStyle w:val="Heading1"/>
        <w:keepNext/>
      </w:pPr>
      <w:r>
        <w:t>第 10 页  Appendix D  SGD Peer Discount Curves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这一页把 SGD 的公开 </w:t>
      </w:r>
      <w:r>
        <w:rPr>
          <w:rFonts w:eastAsia="Heiti SC"/>
          <w:b/>
        </w:rPr>
        <w:t>discount curves</w:t>
      </w:r>
      <w:r>
        <w:rPr>
          <w:rFonts w:eastAsia="Heiti SC"/>
          <w:b w:val="0"/>
        </w:rPr>
        <w:t xml:space="preserve"> 放在一起，辅助观察不同公司的结果。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在 10-year tenor，HSBC Singapore 是 </w:t>
      </w:r>
      <w:r>
        <w:rPr>
          <w:rFonts w:eastAsia="Heiti SC"/>
          <w:b/>
        </w:rPr>
        <w:t>2.46%</w:t>
      </w:r>
      <w:r>
        <w:rPr>
          <w:rFonts w:eastAsia="Heiti SC"/>
          <w:b w:val="0"/>
        </w:rPr>
        <w:t xml:space="preserve">；AIA Group 的 SGD rate 是 </w:t>
      </w:r>
      <w:r>
        <w:rPr>
          <w:rFonts w:eastAsia="Heiti SC"/>
          <w:b/>
        </w:rPr>
        <w:t>2.82%</w:t>
      </w:r>
      <w:r>
        <w:rPr>
          <w:rFonts w:eastAsia="Heiti SC"/>
          <w:b w:val="0"/>
        </w:rPr>
        <w:t xml:space="preserve">；Great Eastern 披露 </w:t>
      </w:r>
      <w:r>
        <w:rPr>
          <w:rFonts w:eastAsia="Heiti SC"/>
          <w:b/>
        </w:rPr>
        <w:t>2.16%–2.44%</w:t>
      </w:r>
      <w:r>
        <w:rPr>
          <w:rFonts w:eastAsia="Heiti SC"/>
          <w:b w:val="0"/>
        </w:rPr>
        <w:t xml:space="preserve">；Prudential Group 披露 </w:t>
      </w:r>
      <w:r>
        <w:rPr>
          <w:rFonts w:eastAsia="Heiti SC"/>
          <w:b/>
        </w:rPr>
        <w:t>2.18%–2.48%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>但这些 disclosure 的 scope 并不完全相同，有 Group，也有 local entity，而且部分公司提供的是 range。因此，这张图主要说明公开结果存在差异，不能直接用来判断哪家公司的 ILP 更高，或者 calibration 更 aggressive。</w:t>
      </w:r>
    </w:p>
    <w:p>
      <w:pPr>
        <w:pStyle w:val="Heading1"/>
        <w:keepNext/>
      </w:pPr>
      <w:r>
        <w:t>第 11 页  Appendix E  Canadian Reference Methodology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>这一页说明 CIA 的 reference methodology 怎样具体落地。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对于 </w:t>
      </w:r>
      <w:r>
        <w:rPr>
          <w:rFonts w:eastAsia="Heiti SC"/>
          <w:b/>
        </w:rPr>
        <w:t>liquid liabilities</w:t>
      </w:r>
      <w:r>
        <w:rPr>
          <w:rFonts w:eastAsia="Heiti SC"/>
          <w:b w:val="0"/>
        </w:rPr>
        <w:t xml:space="preserve">，reference ILP 使用 </w:t>
      </w:r>
      <w:r>
        <w:rPr>
          <w:rFonts w:eastAsia="Heiti SC"/>
          <w:b/>
        </w:rPr>
        <w:t>90% 的 provincial bond spread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对于 </w:t>
      </w:r>
      <w:r>
        <w:rPr>
          <w:rFonts w:eastAsia="Heiti SC"/>
          <w:b/>
        </w:rPr>
        <w:t>illiquid liabilities</w:t>
      </w:r>
      <w:r>
        <w:rPr>
          <w:rFonts w:eastAsia="Heiti SC"/>
          <w:b w:val="0"/>
        </w:rPr>
        <w:t xml:space="preserve">，使用 </w:t>
      </w:r>
      <w:r>
        <w:rPr>
          <w:rFonts w:eastAsia="Heiti SC"/>
          <w:b/>
        </w:rPr>
        <w:t>50 bps，加上一定比例的 investment-grade corporate spread</w:t>
      </w:r>
      <w:r>
        <w:rPr>
          <w:rFonts w:eastAsia="Heiti SC"/>
          <w:b w:val="0"/>
        </w:rPr>
        <w:t xml:space="preserve">。这个比例按 tenor 区分：1–3 年是 </w:t>
      </w:r>
      <w:r>
        <w:rPr>
          <w:rFonts w:eastAsia="Heiti SC"/>
          <w:b/>
        </w:rPr>
        <w:t>80%</w:t>
      </w:r>
      <w:r>
        <w:rPr>
          <w:rFonts w:eastAsia="Heiti SC"/>
          <w:b w:val="0"/>
        </w:rPr>
        <w:t xml:space="preserve">，4 年是 </w:t>
      </w:r>
      <w:r>
        <w:rPr>
          <w:rFonts w:eastAsia="Heiti SC"/>
          <w:b/>
        </w:rPr>
        <w:t>75%</w:t>
      </w:r>
      <w:r>
        <w:rPr>
          <w:rFonts w:eastAsia="Heiti SC"/>
          <w:b w:val="0"/>
        </w:rPr>
        <w:t xml:space="preserve">，5 年及以上是 </w:t>
      </w:r>
      <w:r>
        <w:rPr>
          <w:rFonts w:eastAsia="Heiti SC"/>
          <w:b/>
        </w:rPr>
        <w:t>70%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在 long end，observable period 与 ultimate assumptions 之间进行 interpolation，ultimate point 是 </w:t>
      </w:r>
      <w:r>
        <w:rPr>
          <w:rFonts w:eastAsia="Heiti SC"/>
          <w:b/>
        </w:rPr>
        <w:t>70 years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>这些是 CIA 的 reference parameters，可以作为 calibration benchmark；但不能据此认定 Canada Life 或其他公司完全照搬了这一套参数。</w:t>
      </w:r>
    </w:p>
    <w:p>
      <w:pPr>
        <w:pStyle w:val="Heading1"/>
        <w:keepNext/>
      </w:pPr>
      <w:r>
        <w:t>第 12 页  Appendix F  Singapore Historical Sample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这一页扩大 Singapore 的 peer coverage，资料来自对 </w:t>
      </w:r>
      <w:r>
        <w:rPr>
          <w:rFonts w:eastAsia="Heiti SC"/>
          <w:b/>
        </w:rPr>
        <w:t>FY2023 disclosures</w:t>
      </w:r>
      <w:r>
        <w:rPr>
          <w:rFonts w:eastAsia="Heiti SC"/>
          <w:b w:val="0"/>
        </w:rPr>
        <w:t xml:space="preserve"> 的历史研究，不是最新 FY2025 survey。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在这八家公司中，已披露 approach 的公司多数使用 </w:t>
      </w:r>
      <w:r>
        <w:rPr>
          <w:rFonts w:eastAsia="Heiti SC"/>
          <w:b/>
        </w:rPr>
        <w:t>bottom-up</w:t>
      </w:r>
      <w:r>
        <w:rPr>
          <w:rFonts w:eastAsia="Heiti SC"/>
          <w:b w:val="0"/>
        </w:rPr>
        <w:t xml:space="preserve">，AIA Singapore 是 </w:t>
      </w:r>
      <w:r>
        <w:rPr>
          <w:rFonts w:eastAsia="Heiti SC"/>
          <w:b/>
        </w:rPr>
        <w:t>top-down</w:t>
      </w:r>
      <w:r>
        <w:rPr>
          <w:rFonts w:eastAsia="Heiti SC"/>
          <w:b w:val="0"/>
        </w:rPr>
        <w:t xml:space="preserve">；Singlife 在该研究中的 approach 是 </w:t>
      </w:r>
      <w:r>
        <w:rPr>
          <w:rFonts w:eastAsia="Heiti SC"/>
          <w:b/>
        </w:rPr>
        <w:t>N/A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>RA 的 calibration 也存在差异，例如 75th、85th 和 90th percentile，以及 margin approach。</w:t>
      </w:r>
    </w:p>
    <w:p>
      <w:pPr>
        <w:keepNext w:val="0"/>
        <w:widowControl/>
      </w:pPr>
      <w:r>
        <w:rPr>
          <w:rFonts w:eastAsia="Heiti SC"/>
          <w:b w:val="0"/>
        </w:rPr>
        <w:t>这份资料适合支持 historical market observation，但不能把其他年份的 Group formula，直接当作这些 local entities 当年的 calculation method。</w:t>
      </w:r>
    </w:p>
    <w:p>
      <w:r>
        <w:br w:type="page"/>
      </w:r>
    </w:p>
    <w:p>
      <w:pPr>
        <w:pStyle w:val="Heading1"/>
        <w:keepNext/>
      </w:pPr>
      <w:r>
        <w:t>第 13 页  Appendix G  Public Source Register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定位来源时使用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这一页是 </w:t>
      </w:r>
      <w:r>
        <w:rPr>
          <w:rFonts w:eastAsia="Heiti SC"/>
          <w:b/>
        </w:rPr>
        <w:t>source register</w:t>
      </w:r>
      <w:r>
        <w:rPr>
          <w:rFonts w:eastAsia="Heiti SC"/>
          <w:b w:val="0"/>
        </w:rPr>
        <w:t>。每项主要结论都对应原始文件，以及具体的 Note、printed page 或 PDF page，完整 links 放在 speaker notes。</w:t>
      </w:r>
    </w:p>
    <w:p>
      <w:pPr>
        <w:keepNext w:val="0"/>
        <w:widowControl/>
      </w:pPr>
      <w:r>
        <w:rPr>
          <w:rFonts w:eastAsia="Heiti SC"/>
          <w:b w:val="0"/>
        </w:rPr>
        <w:t>来源包括 annual reports、financial statement notes、CIA guidance 和 historical market study。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核对时也区分了 </w:t>
      </w:r>
      <w:r>
        <w:rPr>
          <w:rFonts w:eastAsia="Heiti SC"/>
          <w:b/>
        </w:rPr>
        <w:t>Group disclosure、local entity disclosure 和 professional reference methodology</w:t>
      </w:r>
      <w:r>
        <w:rPr>
          <w:rFonts w:eastAsia="Heiti SC"/>
          <w:b w:val="0"/>
        </w:rPr>
        <w:t>，避免把不同 scope 的材料当成同一层面的证据。</w:t>
      </w:r>
    </w:p>
    <w:p>
      <w:pPr>
        <w:keepNext w:val="0"/>
        <w:widowControl/>
        <w:spacing w:before="120"/>
      </w:pPr>
      <w:r>
        <w:rPr>
          <w:rFonts w:eastAsia="Heiti SC"/>
          <w:b/>
          <w:sz w:val="20"/>
        </w:rPr>
        <w:t>讲者提示</w:t>
      </w:r>
      <w:r>
        <w:rPr>
          <w:rFonts w:eastAsia="Heiti SC"/>
          <w:b w:val="0"/>
          <w:sz w:val="20"/>
        </w:rPr>
        <w:t xml:space="preserve">  不用逐条念来源；被问到某个数字时，再定位对应文件。</w:t>
      </w:r>
    </w:p>
    <w:p>
      <w:pPr>
        <w:pStyle w:val="Heading1"/>
        <w:keepNext/>
      </w:pPr>
      <w:r>
        <w:t>第 14 页  Appendix H  CIA Bottom-up Implementation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 xml:space="preserve">这一页具体解释 CIA 讨论的 </w:t>
      </w:r>
      <w:r>
        <w:rPr>
          <w:rFonts w:eastAsia="Heiti SC"/>
          <w:b/>
        </w:rPr>
        <w:t>hybrid bottom-up implementation</w:t>
      </w:r>
      <w:r>
        <w:rPr>
          <w:rFonts w:eastAsia="Heiti SC"/>
          <w:b w:val="0"/>
        </w:rPr>
        <w:t>：</w:t>
      </w:r>
    </w:p>
    <w:p>
      <w:pPr>
        <w:keepNext w:val="0"/>
        <w:widowControl/>
      </w:pPr>
      <w:r>
        <w:rPr>
          <w:rFonts w:eastAsia="Heiti SC"/>
          <w:b/>
        </w:rPr>
        <w:t>ILP equals r times reference asset spread, plus c。</w:t>
      </w:r>
    </w:p>
    <w:p>
      <w:pPr>
        <w:keepNext w:val="0"/>
        <w:widowControl/>
      </w:pPr>
      <w:r>
        <w:rPr>
          <w:rFonts w:eastAsia="Heiti SC"/>
          <w:b w:val="0"/>
        </w:rPr>
        <w:t>首先，</w:t>
      </w:r>
      <w:r>
        <w:rPr>
          <w:rFonts w:eastAsia="Heiti SC"/>
          <w:b/>
        </w:rPr>
        <w:t>reference asset spread</w:t>
      </w:r>
      <w:r>
        <w:rPr>
          <w:rFonts w:eastAsia="Heiti SC"/>
          <w:b w:val="0"/>
        </w:rPr>
        <w:t xml:space="preserve"> 是 reference asset yield 减去 RFR。</w:t>
      </w:r>
    </w:p>
    <w:p>
      <w:pPr>
        <w:keepNext w:val="0"/>
        <w:widowControl/>
      </w:pPr>
      <w:r>
        <w:rPr>
          <w:rFonts w:eastAsia="Heiti SC"/>
          <w:b w:val="0"/>
        </w:rPr>
        <w:t>其次，</w:t>
      </w:r>
      <w:r>
        <w:rPr>
          <w:rFonts w:eastAsia="Heiti SC"/>
          <w:b/>
        </w:rPr>
        <w:t>r</w:t>
      </w:r>
      <w:r>
        <w:rPr>
          <w:rFonts w:eastAsia="Heiti SC"/>
          <w:b w:val="0"/>
        </w:rPr>
        <w:t xml:space="preserve"> 是扣除 expected 和 unexpected credit-loss components 后，保留下来的 spread 比例。因此，r 主要与 reference assets 的 </w:t>
      </w:r>
      <w:r>
        <w:rPr>
          <w:rFonts w:eastAsia="Heiti SC"/>
          <w:b/>
        </w:rPr>
        <w:t>credit characteristics 和 credit adjustment estimation</w:t>
      </w:r>
      <w:r>
        <w:rPr>
          <w:rFonts w:eastAsia="Heiti SC"/>
          <w:b w:val="0"/>
        </w:rPr>
        <w:t xml:space="preserve"> 有关。</w:t>
      </w:r>
    </w:p>
    <w:p>
      <w:pPr>
        <w:keepNext w:val="0"/>
        <w:widowControl/>
      </w:pPr>
      <w:r>
        <w:rPr>
          <w:rFonts w:eastAsia="Heiti SC"/>
          <w:b w:val="0"/>
        </w:rPr>
        <w:t>最后，</w:t>
      </w:r>
      <w:r>
        <w:rPr>
          <w:rFonts w:eastAsia="Heiti SC"/>
          <w:b/>
        </w:rPr>
        <w:t>c</w:t>
      </w:r>
      <w:r>
        <w:rPr>
          <w:rFonts w:eastAsia="Heiti SC"/>
          <w:b w:val="0"/>
        </w:rPr>
        <w:t xml:space="preserve"> 处理 reference assets 与 insurance liabilities 的 </w:t>
      </w:r>
      <w:r>
        <w:rPr>
          <w:rFonts w:eastAsia="Heiti SC"/>
          <w:b/>
        </w:rPr>
        <w:t>liquidity difference</w:t>
      </w:r>
      <w:r>
        <w:rPr>
          <w:rFonts w:eastAsia="Heiti SC"/>
          <w:b w:val="0"/>
        </w:rPr>
        <w:t>。判断时可以考虑 withdrawal rights、surrender charges 和 guarantees 等 contract features。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所以，r 处理 credit-related components，c 处理 liquidity mismatch。比如 CIA 的 10-year reference specification，可以写成 </w:t>
      </w:r>
      <w:r>
        <w:rPr>
          <w:rFonts w:eastAsia="Heiti SC"/>
          <w:b/>
        </w:rPr>
        <w:t>70% 的 investment-grade corporate spread，加 50 bps</w:t>
      </w:r>
      <w:r>
        <w:rPr>
          <w:rFonts w:eastAsia="Heiti SC"/>
          <w:b w:val="0"/>
        </w:rPr>
        <w:t>；但这不代表所有公司的实际 calibration 都相同。</w:t>
      </w:r>
    </w:p>
    <w:p>
      <w:r>
        <w:br w:type="page"/>
      </w:r>
    </w:p>
    <w:p>
      <w:pPr>
        <w:pStyle w:val="Heading1"/>
        <w:keepNext/>
      </w:pPr>
      <w:r>
        <w:t>第 15 页  Appendix I  AIA and Prudential Calculations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>这一页把两种 calculation structure 并排展示。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AIA 从 </w:t>
      </w:r>
      <w:r>
        <w:rPr>
          <w:rFonts w:eastAsia="Heiti SC"/>
          <w:b/>
        </w:rPr>
        <w:t>reference yield</w:t>
      </w:r>
      <w:r>
        <w:rPr>
          <w:rFonts w:eastAsia="Heiti SC"/>
          <w:b w:val="0"/>
        </w:rPr>
        <w:t xml:space="preserve"> 扣除 </w:t>
      </w:r>
      <w:r>
        <w:rPr>
          <w:rFonts w:eastAsia="Heiti SC"/>
          <w:b/>
        </w:rPr>
        <w:t>credit risk allowance</w:t>
      </w:r>
      <w:r>
        <w:rPr>
          <w:rFonts w:eastAsia="Heiti SC"/>
          <w:b w:val="0"/>
        </w:rPr>
        <w:t xml:space="preserve"> 和其他 irrelevant factors，得到 discount rate，再减 RFR 得到 implied ILP。公开的 HKD 10-year 数据可以推导出 </w:t>
      </w:r>
      <w:r>
        <w:rPr>
          <w:rFonts w:eastAsia="Heiti SC"/>
          <w:b/>
        </w:rPr>
        <w:t>81 bps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>Prudential 先计算：</w:t>
      </w:r>
    </w:p>
    <w:p>
      <w:pPr>
        <w:keepNext w:val="0"/>
        <w:widowControl/>
      </w:pPr>
      <w:r>
        <w:rPr>
          <w:rFonts w:eastAsia="Heiti SC"/>
          <w:b/>
        </w:rPr>
        <w:t>Reference ILP equals reference YTM, minus RFR, minus credit risk allowance。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然后乘以 </w:t>
      </w:r>
      <w:r>
        <w:rPr>
          <w:rFonts w:eastAsia="Heiti SC"/>
          <w:b/>
        </w:rPr>
        <w:t>0%、50% 或 100% 的 application ratio</w:t>
      </w:r>
      <w:r>
        <w:rPr>
          <w:rFonts w:eastAsia="Heiti SC"/>
          <w:b w:val="0"/>
        </w:rPr>
        <w:t xml:space="preserve">，反映不同产品的 liquidity characteristics，最后受到 </w:t>
      </w:r>
      <w:r>
        <w:rPr>
          <w:rFonts w:eastAsia="Heiti SC"/>
          <w:b/>
        </w:rPr>
        <w:t>asset-earning cap</w:t>
      </w:r>
      <w:r>
        <w:rPr>
          <w:rFonts w:eastAsia="Heiti SC"/>
          <w:b w:val="0"/>
        </w:rPr>
        <w:t xml:space="preserve"> 约束。</w:t>
      </w:r>
    </w:p>
    <w:p>
      <w:pPr>
        <w:keepNext w:val="0"/>
        <w:widowControl/>
      </w:pPr>
      <w:r>
        <w:rPr>
          <w:rFonts w:eastAsia="Heiti SC"/>
          <w:b w:val="0"/>
        </w:rPr>
        <w:t>两家公司都涉及 credit adjustment，但 Prudential 进一步披露了 application ratio 和 cap。这里使用的是相应 Group disclosure，不能直接替代每个 local entity 的完整参数。</w:t>
      </w:r>
    </w:p>
    <w:p>
      <w:pPr>
        <w:pStyle w:val="Heading1"/>
        <w:keepNext/>
      </w:pPr>
      <w:r>
        <w:t>第 16 页  Appendix J  Great Eastern and HSBC Singapore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>Great Eastern 的结构可以表达为：</w:t>
      </w:r>
    </w:p>
    <w:p>
      <w:pPr>
        <w:keepNext w:val="0"/>
        <w:widowControl/>
      </w:pPr>
      <w:r>
        <w:rPr>
          <w:rFonts w:eastAsia="Heiti SC"/>
          <w:b/>
        </w:rPr>
        <w:t>ILP equals application ratio times credit-adjusted reference spread。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它先计算 currency reference assets 的 </w:t>
      </w:r>
      <w:r>
        <w:rPr>
          <w:rFonts w:eastAsia="Heiti SC"/>
          <w:b/>
        </w:rPr>
        <w:t>market spread，扣除 credit adjustment</w:t>
      </w:r>
      <w:r>
        <w:rPr>
          <w:rFonts w:eastAsia="Heiti SC"/>
          <w:b w:val="0"/>
        </w:rPr>
        <w:t xml:space="preserve">；再通过 </w:t>
      </w:r>
      <w:r>
        <w:rPr>
          <w:rFonts w:eastAsia="Heiti SC"/>
          <w:b/>
        </w:rPr>
        <w:t>objective scoring system</w:t>
      </w:r>
      <w:r>
        <w:rPr>
          <w:rFonts w:eastAsia="Heiti SC"/>
          <w:b w:val="0"/>
        </w:rPr>
        <w:t>，把产品分配到 liquidity bucket 和 application ratio。Market-observable ILP 按 month-end 更新。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但 scoring weights、thresholds，以及具体 application ratios 都是 </w:t>
      </w:r>
      <w:r>
        <w:rPr>
          <w:rFonts w:eastAsia="Heiti SC"/>
          <w:b/>
        </w:rPr>
        <w:t>N/A</w:t>
      </w:r>
      <w:r>
        <w:rPr>
          <w:rFonts w:eastAsia="Heiti SC"/>
          <w:b w:val="0"/>
        </w:rPr>
        <w:t>，所以不能借用 Prudential 的 0%、50%、100%。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HSBC Singapore 披露的是 </w:t>
      </w:r>
      <w:r>
        <w:rPr>
          <w:rFonts w:eastAsia="Heiti SC"/>
          <w:b/>
        </w:rPr>
        <w:t>RFR plus ILP</w:t>
      </w:r>
      <w:r>
        <w:rPr>
          <w:rFonts w:eastAsia="Heiti SC"/>
          <w:b w:val="0"/>
        </w:rPr>
        <w:t>，ILP 反映 contract liquidity characteristics；更详细的 reference portfolio、credit deduction 和 floor，在本次资料中是 N/A。</w:t>
      </w:r>
    </w:p>
    <w:p>
      <w:r>
        <w:br w:type="page"/>
      </w:r>
    </w:p>
    <w:p>
      <w:pPr>
        <w:pStyle w:val="Heading1"/>
        <w:keepNext/>
      </w:pPr>
      <w:r>
        <w:t>第 17 页  Appendix K  Canadian Insurer Calculations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>加拿大几家公司的差异，主要在 reference assets 和 credit adjustment。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Sun Life 从 reference spread 扣除 </w:t>
      </w:r>
      <w:r>
        <w:rPr>
          <w:rFonts w:eastAsia="Heiti SC"/>
          <w:b/>
        </w:rPr>
        <w:t>expected 和 unexpected credit losses</w:t>
      </w:r>
      <w:r>
        <w:rPr>
          <w:rFonts w:eastAsia="Heiti SC"/>
          <w:b w:val="0"/>
        </w:rPr>
        <w:t>；这里的 deductions 是换算到 yield 的形式，并按 asset type、credit quality 和 duration 区分。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Manulife 使用不同 liquidity categories 的 </w:t>
      </w:r>
      <w:r>
        <w:rPr>
          <w:rFonts w:eastAsia="Heiti SC"/>
          <w:b/>
        </w:rPr>
        <w:t>net asset spreads</w:t>
      </w:r>
      <w:r>
        <w:rPr>
          <w:rFonts w:eastAsia="Heiti SC"/>
          <w:b w:val="0"/>
        </w:rPr>
        <w:t xml:space="preserve">。例如，CAD 10-year total rate，illiquid category 是 </w:t>
      </w:r>
      <w:r>
        <w:rPr>
          <w:rFonts w:eastAsia="Heiti SC"/>
          <w:b/>
        </w:rPr>
        <w:t>4.94%</w:t>
      </w:r>
      <w:r>
        <w:rPr>
          <w:rFonts w:eastAsia="Heiti SC"/>
          <w:b w:val="0"/>
        </w:rPr>
        <w:t xml:space="preserve">，somewhat liquid 是 </w:t>
      </w:r>
      <w:r>
        <w:rPr>
          <w:rFonts w:eastAsia="Heiti SC"/>
          <w:b/>
        </w:rPr>
        <w:t>4.85%</w:t>
      </w:r>
      <w:r>
        <w:rPr>
          <w:rFonts w:eastAsia="Heiti SC"/>
          <w:b w:val="0"/>
        </w:rPr>
        <w:t>；它们仍然是 total rates。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Canada Life 对有 backing assets 的业务一般使用 </w:t>
      </w:r>
      <w:r>
        <w:rPr>
          <w:rFonts w:eastAsia="Heiti SC"/>
          <w:b/>
        </w:rPr>
        <w:t>top-down</w:t>
      </w:r>
      <w:r>
        <w:rPr>
          <w:rFonts w:eastAsia="Heiti SC"/>
          <w:b w:val="0"/>
        </w:rPr>
        <w:t>；部分业务使用 government RFR 加 externally benchmarked liquidity spread。但 external benchmark 的具体 provider 或名称没有披露，因此不能直接说就是 CIA curve。</w:t>
      </w:r>
    </w:p>
    <w:p>
      <w:pPr>
        <w:pStyle w:val="Heading1"/>
        <w:keepNext/>
      </w:pPr>
      <w:r>
        <w:t>第 18 页  Appendix L  Floor and Cap Evidence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>这一页把几类不同的 constraints 分开。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Prudential 是日常 ILP 的 </w:t>
      </w:r>
      <w:r>
        <w:rPr>
          <w:rFonts w:eastAsia="Heiti SC"/>
          <w:b/>
        </w:rPr>
        <w:t>asset-earning cap</w:t>
      </w:r>
      <w:r>
        <w:rPr>
          <w:rFonts w:eastAsia="Heiti SC"/>
          <w:b w:val="0"/>
        </w:rPr>
        <w:t>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Sun Life 的 zero floor 是特定 </w:t>
      </w:r>
      <w:r>
        <w:rPr>
          <w:rFonts w:eastAsia="Heiti SC"/>
          <w:b/>
        </w:rPr>
        <w:t>credit-spread sensitivity scenario</w:t>
      </w:r>
      <w:r>
        <w:rPr>
          <w:rFonts w:eastAsia="Heiti SC"/>
          <w:b w:val="0"/>
        </w:rPr>
        <w:t xml:space="preserve"> 的规则，不是日常 ILP floor。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CIA 的 </w:t>
      </w:r>
      <w:r>
        <w:rPr>
          <w:rFonts w:eastAsia="Heiti SC"/>
          <w:b/>
        </w:rPr>
        <w:t>PV comparison constraint</w:t>
      </w:r>
      <w:r>
        <w:rPr>
          <w:rFonts w:eastAsia="Heiti SC"/>
          <w:b w:val="0"/>
        </w:rPr>
        <w:t xml:space="preserve"> 适用于相关 CAD liabilities 的 unobservable period；另外，ultimate parameters 有年度更新规则，例如按变化幅度决定维持不变，或调整 10、15 bps。这是 reference parameter 的 update mechanism，不是 daily floor。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INSH 的 P10 是 </w:t>
      </w:r>
      <w:r>
        <w:rPr>
          <w:rFonts w:eastAsia="Heiti SC"/>
          <w:b/>
        </w:rPr>
        <w:t>21 bps</w:t>
      </w:r>
      <w:r>
        <w:rPr>
          <w:rFonts w:eastAsia="Heiti SC"/>
          <w:b w:val="0"/>
        </w:rPr>
        <w:t xml:space="preserve">，但目前没有证据确认实际规则是 </w:t>
      </w:r>
      <w:r>
        <w:rPr>
          <w:rFonts w:eastAsia="Heiti SC"/>
          <w:b/>
        </w:rPr>
        <w:t>maximum of three-year average and P10</w:t>
      </w:r>
      <w:r>
        <w:rPr>
          <w:rFonts w:eastAsia="Heiti SC"/>
          <w:b w:val="0"/>
        </w:rPr>
        <w:t>，所以 adopted floor 仍然写 N/A。</w:t>
      </w:r>
    </w:p>
    <w:p>
      <w:pPr>
        <w:pStyle w:val="Heading1"/>
        <w:keepNext/>
      </w:pPr>
      <w:r>
        <w:t>第 19 页  Appendix M  HSBC Internal Calculation Evidence</w:t>
      </w:r>
    </w:p>
    <w:p>
      <w:pPr>
        <w:keepNext/>
        <w:widowControl/>
        <w:spacing w:after="140"/>
      </w:pPr>
      <w:r>
        <w:rPr>
          <w:rFonts w:eastAsia="Heiti SC"/>
          <w:b w:val="0"/>
          <w:sz w:val="18"/>
        </w:rPr>
        <w:t>Appendix  追问时展开</w:t>
      </w:r>
    </w:p>
    <w:p>
      <w:pPr>
        <w:keepNext w:val="0"/>
        <w:widowControl/>
      </w:pPr>
      <w:r>
        <w:rPr>
          <w:rFonts w:eastAsia="Heiti SC"/>
          <w:b w:val="0"/>
        </w:rPr>
        <w:t>最后把外部 comparison 与 HSBC 内部证据对应起来。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HSIC 的材料提供了 </w:t>
      </w:r>
      <w:r>
        <w:rPr>
          <w:rFonts w:eastAsia="Heiti SC"/>
          <w:b/>
        </w:rPr>
        <w:t>rating mix、swap-basis adjustment 和 existing asset spread methodology</w:t>
      </w:r>
      <w:r>
        <w:rPr>
          <w:rFonts w:eastAsia="Heiti SC"/>
          <w:b w:val="0"/>
        </w:rPr>
        <w:t xml:space="preserve">；INHK 提供了按 </w:t>
      </w:r>
      <w:r>
        <w:rPr>
          <w:rFonts w:eastAsia="Heiti SC"/>
          <w:b/>
        </w:rPr>
        <w:t>SAA</w:t>
      </w:r>
      <w:r>
        <w:rPr>
          <w:rFonts w:eastAsia="Heiti SC"/>
          <w:b w:val="0"/>
        </w:rPr>
        <w:t xml:space="preserve"> 考虑 bond 和 infrastructure debt，以及 historical experience、current market 和 forward-looking view 的依据。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INSP 目前可以对应 HSBC Singapore 的公开 </w:t>
      </w:r>
      <w:r>
        <w:rPr>
          <w:rFonts w:eastAsia="Heiti SC"/>
          <w:b/>
        </w:rPr>
        <w:t>RFR plus ILP</w:t>
      </w:r>
      <w:r>
        <w:rPr>
          <w:rFonts w:eastAsia="Heiti SC"/>
          <w:b w:val="0"/>
        </w:rPr>
        <w:t xml:space="preserve"> disclosure，但更详细的 internal parameters 是 N/A。</w:t>
      </w:r>
    </w:p>
    <w:p>
      <w:pPr>
        <w:keepNext w:val="0"/>
        <w:widowControl/>
      </w:pPr>
      <w:r>
        <w:rPr>
          <w:rFonts w:eastAsia="Heiti SC"/>
          <w:b w:val="0"/>
        </w:rPr>
        <w:t xml:space="preserve">INSH 的材料则显示，使用 </w:t>
      </w:r>
      <w:r>
        <w:rPr>
          <w:rFonts w:eastAsia="Heiti SC"/>
          <w:b/>
        </w:rPr>
        <w:t>CB10 AAA spread after VAT and default 的 three-year average</w:t>
      </w:r>
      <w:r>
        <w:rPr>
          <w:rFonts w:eastAsia="Heiti SC"/>
          <w:b w:val="0"/>
        </w:rPr>
        <w:t>，并进行 annual true-up。</w:t>
      </w:r>
    </w:p>
    <w:p>
      <w:pPr>
        <w:keepNext w:val="0"/>
        <w:widowControl/>
      </w:pPr>
      <w:r>
        <w:rPr>
          <w:rFonts w:eastAsia="Heiti SC"/>
          <w:b w:val="0"/>
        </w:rPr>
        <w:t>因此，我们已经可以比较 reference spread、credit treatment 和 calibration window；但完整的 spread-to-ILP formula、部分 application ratios，以及正式 adopted floors，仍不能仅凭现有 screenshots 确认。</w:t>
      </w:r>
    </w:p>
    <w:sectPr w:rsidR="00FC693F" w:rsidRPr="0006063C" w:rsidSect="00034616">
      <w:footerReference w:type="default" r:id="rId9"/>
      <w:pgSz w:w="11906" w:h="16838"/>
      <w:pgMar w:top="1020" w:right="1106" w:bottom="1020" w:left="1106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讲稿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Arial" w:hAnsi="Arial" w:eastAsia="Hei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Hei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Arial" w:hAnsi="Arial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Heiti SC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HSBC ILP 逐页汇报讲稿</dc:title>
  <dc:subject>19 slide speaking notes with English technical keywords</dc:subject>
  <dc:creator/>
  <cp:keywords>ILP, HSBC, speaking notes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