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50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506" w:type="dxa"/>
            <w:shd w:val="clear" w:color="auto" w:fill="F3EAF6"/>
            <w:tcMar>
              <w:top w:w="240" w:type="dxa"/>
              <w:left w:w="220" w:type="dxa"/>
              <w:bottom w:w="240" w:type="dxa"/>
              <w:right w:w="240" w:type="dxa"/>
            </w:tcMar>
          </w:tcPr>
          <w:p>
            <w:pPr>
              <w:tabs>
                <w:tab w:val="right" w:pos="904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906" w:type="dxa"/>
        <w:tblLayout w:type="fixed"/>
        <w:tblCellMar>
          <w:left w:w="0" w:type="dxa"/>
          <w:right w:w="0" w:type="dxa"/>
        </w:tblCellMar>
      </w:tblPr>
      <w:tblGrid>
        <w:gridCol w:w="10906"/>
      </w:tblGrid>
      <w:tr>
        ['
        <w:tc>
          <w:tcPr>
            <w:tcW w:w="1090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844" w:type="dxa"/>
        <w:tblLayout w:type="fixed"/>
        <w:tblCellMar>
          <w:left w:w="0" w:type="dxa"/>
          <w:right w:w="0" w:type="dxa"/>
        </w:tblCellMar>
      </w:tblPr>
      <w:tblGrid>
        <w:gridCol w:w="2666"/>
        <w:gridCol w:w="60"/>
        <w:gridCol w:w="2666"/>
        <w:gridCol w:w="60"/>
        <w:gridCol w:w="2666"/>
        <w:gridCol w:w="60"/>
        <w:gridCol w:w="2666"/>
      </w:tblGrid>
      <w:tr>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6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906"/>
        </w:tabs>
        <w:spacing w:before="11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906"/>
        </w:tabs>
        <w:spacing w:before="11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Transformer un outil interne abandonné en service généralisé sur un parc réparti sur quatre générations de RHEL, et porter le pilote groupe de la plateforme d'automatisation.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et utilisé par environ 200 personnes, DSI métier et exploitation confondues ; présenté en CODIR, à l'étude comme produit groupe.</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Pilote groupe Ansible Automation Platform</w:t>
      </w:r>
      <w:r>
        <w:rPr>
          <w:rFonts w:ascii="Calibri" w:hAnsi="Calibri" w:cs="Calibri"/>
          <w:color w:val="484550"/>
          <w:sz w:val="18"/>
          <w:szCs w:val="18"/>
        </w:rPr>
        <w:t xml:space="preserve"> : premier périmètre de production applicative du groupe à recevoir la plateforme, livrée nue. Modèle d'habilitation instruit (comptes, niveaux de privilège) et normes d'usage définies — nomenclatures, granularité de déploiement par groupe, par type de serveur ou par environnement complet. Inventaire construit dynamiquement depuis la CMDB et enrichi des variables consommées par les playbooks : il découle de la source de vérité au lieu d'être tenu à la main. Standards présentés en CODIR, puis transmis à une seconde production applicative que j'ai formée. Même principe d'inventaire pour les keystores et truststores JKS.</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à Ansible, Jenkins, Artifactory et Bitbucket, supports et parcours d'onboarding.</w:t>
      </w:r>
    </w:p>
    <w:p>
      <w:pPr>
        <w:keepNext/>
        <w:keepLines/>
        <w:tabs>
          <w:tab w:val="right" w:pos="10906"/>
        </w:tabs>
        <w:spacing w:before="11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24" w:line="232"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30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906" w:type="dxa"/>
        <w:tblLayout w:type="fixed"/>
        <w:tblCellMar>
          <w:left w:w="0" w:type="dxa"/>
          <w:right w:w="0" w:type="dxa"/>
        </w:tblCellMar>
      </w:tblPr>
      <w:tblGrid>
        <w:gridCol w:w="5333"/>
        <w:gridCol w:w="240"/>
        <w:gridCol w:w="5333"/>
      </w:tblGrid>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33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33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333" w:type="dxa"/>
            <w:tcMar>
              <w:top w:w="0" w:type="dxa"/>
              <w:left w:w="0" w:type="dxa"/>
              <w:bottom w:w="0" w:type="dxa"/>
              <w:right w:w="0" w:type="dxa"/>
            </w:tcMar>
          </w:tcPr>
          <w:p>
            <w:pPr>
              <w:spacing w:before="0" w:after="0" w:line="90" w:lineRule="exact"/>
            </w:pPr>
          </w:p>
        </w:tc>
      </w:tr>
      <w:tr>
        <w:tc>
          <w:tcPr>
            <w:tcW w:w="533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33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9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303"/>
        <w:gridCol w:w="300"/>
        <w:gridCol w:w="5303"/>
      </w:tblGrid>
      <w:tr>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30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00" w:right="500" w:bottom="500" w:left="50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