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1054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</w:tblPr>
      <w:tblGrid>
        <w:gridCol w:w="1400"/>
        <w:gridCol w:w="9146"/>
      </w:tblGrid>
      <w:tr>
        <w:tc>
          <w:tcPr>
            <w:tcW w:w="1400" w:type="dxa"/>
            <w:shd w:val="clear" w:color="auto" w:fill="F3EAF6"/>
            <w:tcMar>
              <w:top w:w="240" w:type="dxa"/>
              <w:left w:w="260" w:type="dxa"/>
              <w:bottom w:w="240" w:type="dxa"/>
              <w:right w:w="0" w:type="dxa"/>
            </w:tcMar>
          </w:tcPr>
          <w:p>
            <w:pPr>
              <w:spacing w:before="0" w:after="0" w:line="252" w:lineRule="auto"/>
            </w:pPr>
            <w:r>
              <w:drawing>
                <wp:inline distT="0" distB="0" distL="0" distR="0">
                  <wp:extent cx="590550" cy="609600"/>
                  <wp:docPr id="1" name="Logo CS Consulting"/>
                  <a:graphic>
                    <a:graphicData uri="http://schemas.openxmlformats.org/drawingml/2006/picture">
                      <pic:pic>
                        <pic:nvPicPr>
                          <pic:cNvPr id="1" name="logo.png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055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146" w:type="dxa"/>
            <w:shd w:val="clear" w:color="auto" w:fill="F3EAF6"/>
            <w:tcMar>
              <w:top w:w="240" w:type="dxa"/>
              <w:left w:w="220" w:type="dxa"/>
              <w:bottom w:w="240" w:type="dxa"/>
              <w:right w:w="240" w:type="dxa"/>
            </w:tcMar>
          </w:tcPr>
          <w:p>
            <w:pPr>
              <w:tabs>
                <w:tab w:val="right" w:pos="8686"/>
              </w:tabs>
              <w:spacing w:before="0" w:after="40" w:line="252" w:lineRule="auto"/>
            </w:pPr>
            <w:r>
              <w:rPr>
                <w:rFonts w:ascii="Consolas" w:hAnsi="Consolas" w:cs="Consolas"/>
                <w:color w:val="6866A7"/>
                <w:sz w:val="17"/>
                <w:szCs w:val="17"/>
              </w:rPr>
              <w:t xml:space="preserve">~/cs-consulting $ whoami</w:t>
            </w:r>
            <w:r>
              <w:rPr>
                <w:rFonts w:ascii="Calibri" w:hAnsi="Calibri" w:cs="Calibri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5B5866"/>
                <w:sz w:val="17"/>
                <w:szCs w:val="17"/>
              </w:rPr>
              <w:t xml:space="preserve">Paris area, France · Remote</w:t>
            </w:r>
          </w:p>
          <w:p>
            <w:pPr>
              <w:spacing w:before="0" w:after="4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44"/>
                <w:szCs w:val="44"/>
              </w:rPr>
              <w:t xml:space="preserve">Stephen Casse</w:t>
            </w:r>
            <w:r>
              <w:rPr>
                <w:rFonts w:ascii="Calibri" w:hAnsi="Calibri" w:cs="Calibri"/>
                <w:color w:val="5B5866"/>
                <w:sz w:val="44"/>
                <w:szCs w:val="44"/>
              </w:rPr>
              <w:t xml:space="preserve"> · ksh</w:t>
            </w:r>
          </w:p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b/>
                <w:bCs/>
                <w:color w:val="6866A7"/>
                <w:sz w:val="19"/>
                <w:szCs w:val="19"/>
              </w:rPr>
              <w:t xml:space="preserve">Freelance DevOps Engineer</w:t>
            </w:r>
            <w:r>
              <w:rPr>
                <w:rFonts w:ascii="Calibri" w:hAnsi="Calibri" w:cs="Calibri"/>
                <w:color w:val="5B5866"/>
                <w:sz w:val="19"/>
                <w:szCs w:val="19"/>
              </w:rPr>
              <w:t xml:space="preserve"> — Build · Integration · Automation</w:t>
            </w:r>
          </w:p>
        </w:tc>
      </w:tr>
    </w:tbl>
    <w:tbl>
      <w:tblPr>
        <w:tblW w:w="10546" w:type="dxa"/>
        <w:tblLayout w:type="fixed"/>
        <w:tblCellMar>
          <w:left w:w="0" w:type="dxa"/>
          <w:right w:w="0" w:type="dxa"/>
        </w:tblCellMar>
      </w:tblPr>
      <w:tblGrid>
        <w:gridCol w:w="10546"/>
      </w:tblGrid>
      <w:tr>
        ['
        <w:tc>
          <w:tcPr>
            <w:tcW w:w="10546" w:type="dxa"/>
            <w:tcBorders>
              <w:top w:val="single" w:sz="4" w:space="0" w:color="f7f2f9"/>
              <w:left w:val="single" w:sz="4" w:space="0" w:color="f7f2f9"/>
              <w:bottom w:val="single" w:sz="4" w:space="0" w:color="cac4d2"/>
              <w:right w:val="single" w:sz="4" w:space="0" w:color="f7f2f9"/>
            </w:tcBorders>
            <w:shd w:val="clear" w:color="auto" w:fill="f7f2f9"/>
            <w:tcMar>
              <w:top w:w="110" w:type="dxa"/>
              <w:left w:w="220" w:type="dxa"/>
              <w:bottom w:w="110" w:type="dxa"/>
              <w:right w:w="2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color w:val="484550"/>
                <w:sz w:val="17"/>
                <w:szCs w:val="17"/>
              </w:rPr>
              <w:t xml:space="preserve">contact@scasse.com · 06 58 44 35 79 · linkedin.com/in/stephen-casse · github.com/ksh2177 · homelab.scasse.com</w:t>
            </w:r>
          </w:p>
        </w:tc>
        ']
      </w:tr>
    </w:tbl>
    <w:p>
      <w:pPr>
        <w:spacing w:before="0" w:after="0" w:line="200" w:lineRule="exact"/>
      </w:pPr>
    </w:p>
    <w:p>
      <w:pPr>
        <w:spacing w:before="0" w:after="180" w:line="276" w:lineRule="auto"/>
      </w:pPr>
      <w:r>
        <w:rPr>
          <w:rFonts w:ascii="Calibri" w:hAnsi="Calibri" w:cs="Calibri"/>
          <w:color w:val="1c1b20"/>
          <w:sz w:val="21"/>
          <w:szCs w:val="21"/>
        </w:rPr>
        <w:t xml:space="preserve">Ten years in banking production (Amundi, BPCE). I industrialise deployments, automate CI/CD pipelines and deliver portable, documented and secured environments — from commit to production, with no manual step.</w:t>
      </w:r>
    </w:p>
    <w:tbl>
      <w:tblPr>
        <w:tblW w:w="10484" w:type="dxa"/>
        <w:tblLayout w:type="fixed"/>
        <w:tblCellMar>
          <w:left w:w="0" w:type="dxa"/>
          <w:right w:w="0" w:type="dxa"/>
        </w:tblCellMar>
      </w:tblPr>
      <w:tblGrid>
        <w:gridCol w:w="2576"/>
        <w:gridCol w:w="60"/>
        <w:gridCol w:w="2576"/>
        <w:gridCol w:w="60"/>
        <w:gridCol w:w="2576"/>
        <w:gridCol w:w="60"/>
        <w:gridCol w:w="2576"/>
      </w:tblGrid>
      <w:tr>
        <w:tc>
          <w:tcPr>
            <w:tcW w:w="2576" w:type="dxa"/>
            <w:tcBorders>
              <w:top w:val="single" w:sz="24" w:space="0" w:color="6866A7"/>
              <w:left w:val="single" w:sz="4" w:space="0" w:color="cac4d2"/>
              <w:bottom w:val="single" w:sz="4" w:space="0" w:color="cac4d2"/>
              <w:right w:val="single" w:sz="4" w:space="0" w:color="cac4d2"/>
            </w:tcBorders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20" w:line="252" w:lineRule="auto"/>
            </w:pPr>
            <w:r>
              <w:rPr>
                <w:rFonts w:ascii="Consolas" w:hAnsi="Consolas" w:cs="Consolas"/>
                <w:b/>
                <w:bCs/>
                <w:color w:val="1c1b20"/>
                <w:sz w:val="26"/>
                <w:szCs w:val="26"/>
              </w:rPr>
              <w:t xml:space="preserve">10 years</w:t>
            </w:r>
          </w:p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color w:val="5B5866"/>
                <w:sz w:val="15"/>
                <w:szCs w:val="15"/>
              </w:rPr>
              <w:t xml:space="preserve">banking &amp; finance production</w:t>
            </w:r>
          </w:p>
        </w:tc>
        <w:tc>
          <w:tcPr>
            <w:tcW w:w="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2576" w:type="dxa"/>
            <w:tcBorders>
              <w:top w:val="single" w:sz="24" w:space="0" w:color="A86F9F"/>
              <w:left w:val="single" w:sz="4" w:space="0" w:color="cac4d2"/>
              <w:bottom w:val="single" w:sz="4" w:space="0" w:color="cac4d2"/>
              <w:right w:val="single" w:sz="4" w:space="0" w:color="cac4d2"/>
            </w:tcBorders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20" w:line="252" w:lineRule="auto"/>
            </w:pPr>
            <w:r>
              <w:rPr>
                <w:rFonts w:ascii="Consolas" w:hAnsi="Consolas" w:cs="Consolas"/>
                <w:b/>
                <w:bCs/>
                <w:color w:val="1c1b20"/>
                <w:sz w:val="26"/>
                <w:szCs w:val="26"/>
              </w:rPr>
              <w:t xml:space="preserve">4 clients</w:t>
            </w:r>
          </w:p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color w:val="5B5866"/>
                <w:sz w:val="15"/>
                <w:szCs w:val="15"/>
              </w:rPr>
              <w:t xml:space="preserve">Amundi, BPCE IT, BPCE Lease, Euler Hermes</w:t>
            </w:r>
          </w:p>
        </w:tc>
        <w:tc>
          <w:tcPr>
            <w:tcW w:w="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2576" w:type="dxa"/>
            <w:tcBorders>
              <w:top w:val="single" w:sz="24" w:space="0" w:color="6866A7"/>
              <w:left w:val="single" w:sz="4" w:space="0" w:color="cac4d2"/>
              <w:bottom w:val="single" w:sz="4" w:space="0" w:color="cac4d2"/>
              <w:right w:val="single" w:sz="4" w:space="0" w:color="cac4d2"/>
            </w:tcBorders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20" w:line="252" w:lineRule="auto"/>
            </w:pPr>
            <w:r>
              <w:rPr>
                <w:rFonts w:ascii="Consolas" w:hAnsi="Consolas" w:cs="Consolas"/>
                <w:b/>
                <w:bCs/>
                <w:color w:val="1c1b20"/>
                <w:sz w:val="26"/>
                <w:szCs w:val="26"/>
              </w:rPr>
              <w:t xml:space="preserve">1 standard</w:t>
            </w:r>
          </w:p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color w:val="5B5866"/>
                <w:sz w:val="15"/>
                <w:szCs w:val="15"/>
              </w:rPr>
              <w:t xml:space="preserve">Apache stack adopted group-wide in production</w:t>
            </w:r>
          </w:p>
        </w:tc>
        <w:tc>
          <w:tcPr>
            <w:tcW w:w="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2576" w:type="dxa"/>
            <w:tcBorders>
              <w:top w:val="single" w:sz="24" w:space="0" w:color="A86F9F"/>
              <w:left w:val="single" w:sz="4" w:space="0" w:color="cac4d2"/>
              <w:bottom w:val="single" w:sz="4" w:space="0" w:color="cac4d2"/>
              <w:right w:val="single" w:sz="4" w:space="0" w:color="cac4d2"/>
            </w:tcBorders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20" w:line="252" w:lineRule="auto"/>
            </w:pPr>
            <w:r>
              <w:rPr>
                <w:rFonts w:ascii="Consolas" w:hAnsi="Consolas" w:cs="Consolas"/>
                <w:b/>
                <w:bCs/>
                <w:color w:val="1c1b20"/>
                <w:sz w:val="26"/>
                <w:szCs w:val="26"/>
              </w:rPr>
              <w:t xml:space="preserve">9 apps</w:t>
            </w:r>
          </w:p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color w:val="5B5866"/>
                <w:sz w:val="15"/>
                <w:szCs w:val="15"/>
              </w:rPr>
              <w:t xml:space="preserve">GitOps on my K3s cluster</w:t>
            </w:r>
          </w:p>
        </w:tc>
      </w:tr>
    </w:tbl>
    <w:p>
      <w:pPr>
        <w:keepNext/>
        <w:keepLines/>
        <w:spacing w:before="130" w:after="80" w:line="252" w:lineRule="auto"/>
      </w:pPr>
      <w:r>
        <w:rPr>
          <w:rFonts w:ascii="Consolas" w:hAnsi="Consolas" w:cs="Consolas"/>
          <w:b/>
          <w:bCs/>
          <w:color w:val="9775BA"/>
          <w:sz w:val="18"/>
          <w:szCs w:val="18"/>
        </w:rPr>
        <w:t xml:space="preserve">// </w:t>
      </w:r>
      <w:r>
        <w:rPr>
          <w:rFonts w:ascii="Consolas" w:hAnsi="Consolas" w:cs="Consolas"/>
          <w:b/>
          <w:bCs/>
          <w:color w:val="7a68b4"/>
          <w:spacing w:val="16"/>
          <w:sz w:val="18"/>
          <w:szCs w:val="18"/>
        </w:rPr>
        <w:t xml:space="preserve">EXPERIENCE</w:t>
      </w:r>
    </w:p>
    <w:p>
      <w:pPr>
        <w:keepNext/>
        <w:keepLines/>
        <w:tabs>
          <w:tab w:val="right" w:pos="10546"/>
        </w:tabs>
        <w:spacing w:before="140" w:after="30" w:line="252" w:lineRule="auto"/>
      </w:pPr>
      <w:r>
        <w:rPr>
          <w:rFonts w:ascii="Calibri" w:hAnsi="Calibri" w:cs="Calibri"/>
          <w:b/>
          <w:bCs/>
          <w:color w:val="1c1b20"/>
          <w:sz w:val="22"/>
          <w:szCs w:val="22"/>
        </w:rPr>
        <w:t xml:space="preserve">BPCE IT — BPCE Financement</w:t>
      </w:r>
      <w:r>
        <w:rPr>
          <w:rFonts w:ascii="Calibri" w:hAnsi="Calibri" w:cs="Calibri"/>
          <w:sz w:val="19"/>
          <w:szCs w:val="19"/>
        </w:rPr>
        <w:tab/>
      </w:r>
      <w:r>
        <w:rPr>
          <w:rFonts w:ascii="Consolas" w:hAnsi="Consolas" w:cs="Consolas"/>
          <w:color w:val="A86F9F"/>
          <w:sz w:val="16"/>
          <w:szCs w:val="16"/>
        </w:rPr>
        <w:t xml:space="preserve">Nov 2024 → present</w:t>
      </w:r>
    </w:p>
    <w:p>
      <w:pPr>
        <w:keepNext/>
        <w:keepLines/>
        <w:spacing w:before="0" w:after="30" w:line="252" w:lineRule="auto"/>
      </w:pPr>
      <w:r>
        <w:rPr>
          <w:rFonts w:ascii="Calibri" w:hAnsi="Calibri" w:cs="Calibri"/>
          <w:b/>
          <w:bCs/>
          <w:color w:val="6866A7"/>
          <w:sz w:val="18"/>
          <w:szCs w:val="18"/>
        </w:rPr>
        <w:t xml:space="preserve">DevOps Engineer, Build &amp; Integration</w:t>
      </w:r>
      <w:r>
        <w:rPr>
          <w:rFonts w:ascii="Calibri" w:hAnsi="Calibri" w:cs="Calibri"/>
          <w:color w:val="7C7889"/>
          <w:sz w:val="18"/>
          <w:szCs w:val="18"/>
        </w:rPr>
        <w:t xml:space="preserve"> · Paris · hybrid · freelance</w:t>
      </w:r>
    </w:p>
    <w:p>
      <w:pPr>
        <w:spacing w:before="0" w:after="50" w:line="252" w:lineRule="auto"/>
      </w:pPr>
      <w:r>
        <w:rPr>
          <w:rFonts w:ascii="Calibri" w:hAnsi="Calibri" w:cs="Calibri"/>
          <w:color w:val="5B5866"/>
          <w:sz w:val="17"/>
          <w:szCs w:val="17"/>
        </w:rPr>
        <w:t xml:space="preserve">Industrialise and secure the group's web components and certificates; lead for an application domain.</w:t>
      </w:r>
    </w:p>
    <w:p>
      <w:pPr>
        <w:spacing w:before="0" w:after="40" w:line="240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b/>
          <w:bCs/>
          <w:color w:val="484550"/>
          <w:sz w:val="18"/>
          <w:szCs w:val="18"/>
        </w:rPr>
        <w:t xml:space="preserve">Portable</w:t>
      </w:r>
      <w:r>
        <w:rPr>
          <w:rFonts w:ascii="Calibri" w:hAnsi="Calibri" w:cs="Calibri"/>
          <w:color w:val="484550"/>
          <w:sz w:val="18"/>
          <w:szCs w:val="18"/>
        </w:rPr>
        <w:t xml:space="preserve"> Apache HTTPD stack compiled on RHEL 6 → 9.5, packaged with no system dependency, SSL/LDAP without root privileges — </w:t>
      </w:r>
      <w:r>
        <w:rPr>
          <w:rFonts w:ascii="Calibri" w:hAnsi="Calibri" w:cs="Calibri"/>
          <w:b/>
          <w:bCs/>
          <w:color w:val="484550"/>
          <w:sz w:val="18"/>
          <w:szCs w:val="18"/>
        </w:rPr>
        <w:t xml:space="preserve">adopted as the production standard</w:t>
      </w:r>
      <w:r>
        <w:rPr>
          <w:rFonts w:ascii="Calibri" w:hAnsi="Calibri" w:cs="Calibri"/>
          <w:color w:val="484550"/>
          <w:sz w:val="18"/>
          <w:szCs w:val="18"/>
        </w:rPr>
        <w:t xml:space="preserve">.</w:t>
      </w:r>
    </w:p>
    <w:p>
      <w:pPr>
        <w:spacing w:before="0" w:after="40" w:line="240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color w:val="484550"/>
          <w:sz w:val="18"/>
          <w:szCs w:val="18"/>
        </w:rPr>
        <w:t xml:space="preserve">CI/CD pipeline Bitbucket → Jenkins → Artifactory → XL Deploy; build, upgrade and deployment documentation.</w:t>
      </w:r>
    </w:p>
    <w:p>
      <w:pPr>
        <w:spacing w:before="0" w:after="40" w:line="240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color w:val="484550"/>
          <w:sz w:val="18"/>
          <w:szCs w:val="18"/>
        </w:rPr>
        <w:t xml:space="preserve">JKS keystore/truststore automation: Bash + jq, dynamic Ansible inventories, publication to Artifactory, delivery through Jenkins → XLD.</w:t>
      </w:r>
    </w:p>
    <w:p>
      <w:pPr>
        <w:spacing w:before="0" w:after="40" w:line="240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color w:val="484550"/>
          <w:sz w:val="18"/>
          <w:szCs w:val="18"/>
        </w:rPr>
        <w:t xml:space="preserve">Daily run, 24/7 on-call rotation, interface between technical teams and business lines; team training (Ansible, AAP2) and group-wide AAP2 presentation.</w:t>
      </w:r>
    </w:p>
    <w:p>
      <w:pPr>
        <w:keepNext/>
        <w:keepLines/>
        <w:tabs>
          <w:tab w:val="right" w:pos="10546"/>
        </w:tabs>
        <w:spacing w:before="140" w:after="30" w:line="252" w:lineRule="auto"/>
      </w:pPr>
      <w:r>
        <w:rPr>
          <w:rFonts w:ascii="Calibri" w:hAnsi="Calibri" w:cs="Calibri"/>
          <w:b/>
          <w:bCs/>
          <w:color w:val="1c1b20"/>
          <w:sz w:val="22"/>
          <w:szCs w:val="22"/>
        </w:rPr>
        <w:t xml:space="preserve">Amundi Technologies</w:t>
      </w:r>
      <w:r>
        <w:rPr>
          <w:rFonts w:ascii="Calibri" w:hAnsi="Calibri" w:cs="Calibri"/>
          <w:sz w:val="19"/>
          <w:szCs w:val="19"/>
        </w:rPr>
        <w:tab/>
      </w:r>
      <w:r>
        <w:rPr>
          <w:rFonts w:ascii="Consolas" w:hAnsi="Consolas" w:cs="Consolas"/>
          <w:color w:val="A86F9F"/>
          <w:sz w:val="16"/>
          <w:szCs w:val="16"/>
        </w:rPr>
        <w:t xml:space="preserve">Jan 2022 → Dec 2024</w:t>
      </w:r>
    </w:p>
    <w:p>
      <w:pPr>
        <w:keepNext/>
        <w:keepLines/>
        <w:spacing w:before="0" w:after="30" w:line="252" w:lineRule="auto"/>
      </w:pPr>
      <w:r>
        <w:rPr>
          <w:rFonts w:ascii="Calibri" w:hAnsi="Calibri" w:cs="Calibri"/>
          <w:b/>
          <w:bCs/>
          <w:color w:val="6866A7"/>
          <w:sz w:val="18"/>
          <w:szCs w:val="18"/>
        </w:rPr>
        <w:t xml:space="preserve">DevOps Engineer — application lead, deputy tech lead</w:t>
      </w:r>
      <w:r>
        <w:rPr>
          <w:rFonts w:ascii="Calibri" w:hAnsi="Calibri" w:cs="Calibri"/>
          <w:color w:val="7C7889"/>
          <w:sz w:val="18"/>
          <w:szCs w:val="18"/>
        </w:rPr>
        <w:t xml:space="preserve"> · Paris · hybrid · freelance</w:t>
      </w:r>
    </w:p>
    <w:p>
      <w:pPr>
        <w:spacing w:before="0" w:after="50" w:line="252" w:lineRule="auto"/>
      </w:pPr>
      <w:r>
        <w:rPr>
          <w:rFonts w:ascii="Calibri" w:hAnsi="Calibri" w:cs="Calibri"/>
          <w:color w:val="5B5866"/>
          <w:sz w:val="17"/>
          <w:szCs w:val="17"/>
        </w:rPr>
        <w:t xml:space="preserve">Finance, employee savings and private banking scopes; deployment automation and application stability.</w:t>
      </w:r>
    </w:p>
    <w:p>
      <w:pPr>
        <w:spacing w:before="0" w:after="40" w:line="240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color w:val="484550"/>
          <w:sz w:val="18"/>
          <w:szCs w:val="18"/>
        </w:rPr>
        <w:t xml:space="preserve">Automated fail-over of application and database clusters: </w:t>
      </w:r>
      <w:r>
        <w:rPr>
          <w:rFonts w:ascii="Calibri" w:hAnsi="Calibri" w:cs="Calibri"/>
          <w:b/>
          <w:bCs/>
          <w:color w:val="484550"/>
          <w:sz w:val="18"/>
          <w:szCs w:val="18"/>
        </w:rPr>
        <w:t xml:space="preserve">80 % time saved</w:t>
      </w:r>
      <w:r>
        <w:rPr>
          <w:rFonts w:ascii="Calibri" w:hAnsi="Calibri" w:cs="Calibri"/>
          <w:color w:val="484550"/>
          <w:sz w:val="18"/>
          <w:szCs w:val="18"/>
        </w:rPr>
        <w:t xml:space="preserve"> during DR exercises, human-error risk almost eliminated.</w:t>
      </w:r>
    </w:p>
    <w:p>
      <w:pPr>
        <w:spacing w:before="0" w:after="40" w:line="240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color w:val="484550"/>
          <w:sz w:val="18"/>
          <w:szCs w:val="18"/>
        </w:rPr>
        <w:t xml:space="preserve">Deployments Git → AWX → Ansible; Control-M “as code” (JSON/Jinja2 templates deployed by playbook).</w:t>
      </w:r>
    </w:p>
    <w:p>
      <w:pPr>
        <w:spacing w:before="0" w:after="40" w:line="240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color w:val="484550"/>
          <w:sz w:val="18"/>
          <w:szCs w:val="18"/>
        </w:rPr>
        <w:t xml:space="preserve">Kubernetes onboarding: Helm charts, ConfigMaps/Secrets, Jenkins pipelines, ArgoCD sync.</w:t>
      </w:r>
    </w:p>
    <w:p>
      <w:pPr>
        <w:spacing w:before="0" w:after="40" w:line="240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color w:val="484550"/>
          <w:sz w:val="18"/>
          <w:szCs w:val="18"/>
        </w:rPr>
        <w:t xml:space="preserve">Oracle Financials &amp; OBIEE migration from Solaris to SUSE; team meetings run in English; onboarding of newcomers.</w:t>
      </w:r>
    </w:p>
    <w:p>
      <w:pPr>
        <w:keepNext/>
        <w:keepLines/>
        <w:tabs>
          <w:tab w:val="right" w:pos="10546"/>
        </w:tabs>
        <w:spacing w:before="140" w:after="30" w:line="252" w:lineRule="auto"/>
      </w:pPr>
      <w:r>
        <w:rPr>
          <w:rFonts w:ascii="Calibri" w:hAnsi="Calibri" w:cs="Calibri"/>
          <w:b/>
          <w:bCs/>
          <w:color w:val="1c1b20"/>
          <w:sz w:val="22"/>
          <w:szCs w:val="22"/>
        </w:rPr>
        <w:t xml:space="preserve">BPCE Lease</w:t>
      </w:r>
      <w:r>
        <w:rPr>
          <w:rFonts w:ascii="Calibri" w:hAnsi="Calibri" w:cs="Calibri"/>
          <w:sz w:val="19"/>
          <w:szCs w:val="19"/>
        </w:rPr>
        <w:tab/>
      </w:r>
      <w:r>
        <w:rPr>
          <w:rFonts w:ascii="Consolas" w:hAnsi="Consolas" w:cs="Consolas"/>
          <w:color w:val="A86F9F"/>
          <w:sz w:val="16"/>
          <w:szCs w:val="16"/>
        </w:rPr>
        <w:t xml:space="preserve">Dec 2020 → Dec 2021</w:t>
      </w:r>
    </w:p>
    <w:p>
      <w:pPr>
        <w:keepNext/>
        <w:keepLines/>
        <w:spacing w:before="0" w:after="30" w:line="252" w:lineRule="auto"/>
      </w:pPr>
      <w:r>
        <w:rPr>
          <w:rFonts w:ascii="Calibri" w:hAnsi="Calibri" w:cs="Calibri"/>
          <w:b/>
          <w:bCs/>
          <w:color w:val="6866A7"/>
          <w:sz w:val="18"/>
          <w:szCs w:val="18"/>
        </w:rPr>
        <w:t xml:space="preserve">Cloud tech lead &amp; production engineer</w:t>
      </w:r>
      <w:r>
        <w:rPr>
          <w:rFonts w:ascii="Calibri" w:hAnsi="Calibri" w:cs="Calibri"/>
          <w:color w:val="7C7889"/>
          <w:sz w:val="18"/>
          <w:szCs w:val="18"/>
        </w:rPr>
        <w:t xml:space="preserve"> · Paris · hybrid · freelance</w:t>
      </w:r>
    </w:p>
    <w:p>
      <w:pPr>
        <w:spacing w:before="0" w:after="50" w:line="252" w:lineRule="auto"/>
      </w:pPr>
      <w:r>
        <w:rPr>
          <w:rFonts w:ascii="Calibri" w:hAnsi="Calibri" w:cs="Calibri"/>
          <w:color w:val="5B5866"/>
          <w:sz w:val="17"/>
          <w:szCs w:val="17"/>
        </w:rPr>
        <w:t xml:space="preserve">Migration of a critical application to Azure, carried out alone after the project manager left three weeks in.</w:t>
      </w:r>
    </w:p>
    <w:p>
      <w:pPr>
        <w:spacing w:before="0" w:after="40" w:line="240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color w:val="484550"/>
          <w:sz w:val="18"/>
          <w:szCs w:val="18"/>
        </w:rPr>
        <w:t xml:space="preserve">End-to-end PowerBI → Azure migration: sizing, network, security, access rights, gateway, ODBC; </w:t>
      </w:r>
      <w:r>
        <w:rPr>
          <w:rFonts w:ascii="Calibri" w:hAnsi="Calibri" w:cs="Calibri"/>
          <w:b/>
          <w:bCs/>
          <w:color w:val="484550"/>
          <w:sz w:val="18"/>
          <w:szCs w:val="18"/>
        </w:rPr>
        <w:t xml:space="preserve">delivered unsupervised</w:t>
      </w:r>
      <w:r>
        <w:rPr>
          <w:rFonts w:ascii="Calibri" w:hAnsi="Calibri" w:cs="Calibri"/>
          <w:color w:val="484550"/>
          <w:sz w:val="18"/>
          <w:szCs w:val="18"/>
        </w:rPr>
        <w:t xml:space="preserve"> and fully documented (technical, functional, costs).</w:t>
      </w:r>
    </w:p>
    <w:p>
      <w:pPr>
        <w:spacing w:before="0" w:after="40" w:line="240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color w:val="484550"/>
          <w:sz w:val="18"/>
          <w:szCs w:val="18"/>
        </w:rPr>
        <w:t xml:space="preserve">CI/CD pipeline XL Deploy / XL Release with Terraform; Zabbix monitoring; Control-M restart chains.</w:t>
      </w:r>
    </w:p>
    <w:p>
      <w:pPr>
        <w:spacing w:before="0" w:after="40" w:line="240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color w:val="484550"/>
          <w:sz w:val="18"/>
          <w:szCs w:val="18"/>
        </w:rPr>
        <w:t xml:space="preserve">Production run in parallel with no service degradation; 24/7 on-call.</w:t>
      </w:r>
    </w:p>
    <w:p>
      <w:r>
        <w:br w:type="page"/>
      </w:r>
    </w:p>
    <w:p>
      <w:pPr>
        <w:keepNext/>
        <w:keepLines/>
        <w:tabs>
          <w:tab w:val="right" w:pos="10546"/>
        </w:tabs>
        <w:spacing w:before="140" w:after="30" w:line="252" w:lineRule="auto"/>
      </w:pPr>
      <w:r>
        <w:rPr>
          <w:rFonts w:ascii="Calibri" w:hAnsi="Calibri" w:cs="Calibri"/>
          <w:b/>
          <w:bCs/>
          <w:color w:val="1c1b20"/>
          <w:sz w:val="22"/>
          <w:szCs w:val="22"/>
        </w:rPr>
        <w:t xml:space="preserve">Amundi</w:t>
      </w:r>
      <w:r>
        <w:rPr>
          <w:rFonts w:ascii="Calibri" w:hAnsi="Calibri" w:cs="Calibri"/>
          <w:sz w:val="19"/>
          <w:szCs w:val="19"/>
        </w:rPr>
        <w:tab/>
      </w:r>
      <w:r>
        <w:rPr>
          <w:rFonts w:ascii="Consolas" w:hAnsi="Consolas" w:cs="Consolas"/>
          <w:color w:val="A86F9F"/>
          <w:sz w:val="16"/>
          <w:szCs w:val="16"/>
        </w:rPr>
        <w:t xml:space="preserve">Nov 2018 → Dec 2020</w:t>
      </w:r>
    </w:p>
    <w:p>
      <w:pPr>
        <w:keepNext/>
        <w:keepLines/>
        <w:spacing w:before="0" w:after="30" w:line="252" w:lineRule="auto"/>
      </w:pPr>
      <w:r>
        <w:rPr>
          <w:rFonts w:ascii="Calibri" w:hAnsi="Calibri" w:cs="Calibri"/>
          <w:b/>
          <w:bCs/>
          <w:color w:val="6866A7"/>
          <w:sz w:val="18"/>
          <w:szCs w:val="18"/>
        </w:rPr>
        <w:t xml:space="preserve">Operations analyst — application production</w:t>
      </w:r>
      <w:r>
        <w:rPr>
          <w:rFonts w:ascii="Calibri" w:hAnsi="Calibri" w:cs="Calibri"/>
          <w:color w:val="7C7889"/>
          <w:sz w:val="18"/>
          <w:szCs w:val="18"/>
        </w:rPr>
        <w:t xml:space="preserve"> · Paris</w:t>
      </w:r>
    </w:p>
    <w:p>
      <w:pPr>
        <w:spacing w:before="0" w:after="40" w:line="240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color w:val="484550"/>
          <w:sz w:val="18"/>
          <w:szCs w:val="18"/>
        </w:rPr>
        <w:t xml:space="preserve">Real-time batch monitoring (Control-M) and alerting (Centreon), production releases, ITIL procedures, extended hours.</w:t>
      </w:r>
    </w:p>
    <w:p>
      <w:pPr>
        <w:keepNext/>
        <w:keepLines/>
        <w:tabs>
          <w:tab w:val="right" w:pos="10546"/>
        </w:tabs>
        <w:spacing w:before="140" w:after="30" w:line="252" w:lineRule="auto"/>
      </w:pPr>
      <w:r>
        <w:rPr>
          <w:rFonts w:ascii="Calibri" w:hAnsi="Calibri" w:cs="Calibri"/>
          <w:b/>
          <w:bCs/>
          <w:color w:val="1c1b20"/>
          <w:sz w:val="22"/>
          <w:szCs w:val="22"/>
        </w:rPr>
        <w:t xml:space="preserve">Euler Hermes France</w:t>
      </w:r>
      <w:r>
        <w:rPr>
          <w:rFonts w:ascii="Calibri" w:hAnsi="Calibri" w:cs="Calibri"/>
          <w:sz w:val="19"/>
          <w:szCs w:val="19"/>
        </w:rPr>
        <w:tab/>
      </w:r>
      <w:r>
        <w:rPr>
          <w:rFonts w:ascii="Consolas" w:hAnsi="Consolas" w:cs="Consolas"/>
          <w:color w:val="A86F9F"/>
          <w:sz w:val="16"/>
          <w:szCs w:val="16"/>
        </w:rPr>
        <w:t xml:space="preserve">Jul 2015 → Oct 2017</w:t>
      </w:r>
    </w:p>
    <w:p>
      <w:pPr>
        <w:keepNext/>
        <w:keepLines/>
        <w:spacing w:before="0" w:after="30" w:line="252" w:lineRule="auto"/>
      </w:pPr>
      <w:r>
        <w:rPr>
          <w:rFonts w:ascii="Calibri" w:hAnsi="Calibri" w:cs="Calibri"/>
          <w:b/>
          <w:bCs/>
          <w:color w:val="6866A7"/>
          <w:sz w:val="18"/>
          <w:szCs w:val="18"/>
        </w:rPr>
        <w:t xml:space="preserve">Operations &amp; datacenter technician</w:t>
      </w:r>
      <w:r>
        <w:rPr>
          <w:rFonts w:ascii="Calibri" w:hAnsi="Calibri" w:cs="Calibri"/>
          <w:color w:val="7C7889"/>
          <w:sz w:val="18"/>
          <w:szCs w:val="18"/>
        </w:rPr>
        <w:t xml:space="preserve"> · La Défense</w:t>
      </w:r>
    </w:p>
    <w:p>
      <w:pPr>
        <w:spacing w:before="0" w:after="40" w:line="240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color w:val="484550"/>
          <w:sz w:val="18"/>
          <w:szCs w:val="18"/>
        </w:rPr>
        <w:t xml:space="preserve">Multi-OS operations (Unix, AIX, Windows), TWS/IWS, Nagios, SAP/CICS/WAS; 6 months in the datacenter (fibre patching, racking, physical go-live).</w:t>
      </w:r>
    </w:p>
    <w:p>
      <w:pPr>
        <w:keepNext/>
        <w:keepLines/>
        <w:spacing w:before="130" w:after="80" w:line="252" w:lineRule="auto"/>
      </w:pPr>
      <w:r>
        <w:rPr>
          <w:rFonts w:ascii="Consolas" w:hAnsi="Consolas" w:cs="Consolas"/>
          <w:b/>
          <w:bCs/>
          <w:color w:val="9775BA"/>
          <w:sz w:val="18"/>
          <w:szCs w:val="18"/>
        </w:rPr>
        <w:t xml:space="preserve">// </w:t>
      </w:r>
      <w:r>
        <w:rPr>
          <w:rFonts w:ascii="Consolas" w:hAnsi="Consolas" w:cs="Consolas"/>
          <w:b/>
          <w:bCs/>
          <w:color w:val="7a68b4"/>
          <w:spacing w:val="16"/>
          <w:sz w:val="18"/>
          <w:szCs w:val="18"/>
        </w:rPr>
        <w:t xml:space="preserve">SKILLS</w:t>
      </w:r>
    </w:p>
    <w:tbl>
      <w:tblPr>
        <w:tblW w:w="1054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</w:tblPr>
      <w:tblGrid>
        <w:gridCol w:w="5123"/>
        <w:gridCol w:w="300"/>
        <w:gridCol w:w="5123"/>
      </w:tblGrid>
      <w:tr>
        <w:tc>
          <w:tcPr>
            <w:tcW w:w="512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3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8"/>
                <w:szCs w:val="18"/>
              </w:rPr>
              <w:t xml:space="preserve">Automation &amp; CI/CD</w:t>
            </w:r>
          </w:p>
          <w:p>
            <w:pPr>
              <w:spacing w:before="0" w:after="50" w:line="252" w:lineRule="auto"/>
            </w:pPr>
            <w:r>
              <w:rPr>
                <w:rFonts w:ascii="Consolas" w:hAnsi="Consolas" w:cs="Consolas"/>
                <w:color w:val="484550"/>
                <w:sz w:val="15"/>
                <w:szCs w:val="15"/>
              </w:rPr>
              <w:t xml:space="preserve">Ansible · Ansible Automation Platform 2 · AWX · Jenkins · GitLab CI · Bitbucket · Artifactory · XL Deploy / XL Release · ArgoCD · Helm · Kustomize</w:t>
            </w:r>
          </w:p>
        </w:tc>
        <w:tc>
          <w:tcPr>
            <w:tcW w:w="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512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3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8"/>
                <w:szCs w:val="18"/>
              </w:rPr>
              <w:t xml:space="preserve">Containers &amp; orchestration</w:t>
            </w:r>
          </w:p>
          <w:p>
            <w:pPr>
              <w:spacing w:before="0" w:after="50" w:line="252" w:lineRule="auto"/>
            </w:pPr>
            <w:r>
              <w:rPr>
                <w:rFonts w:ascii="Consolas" w:hAnsi="Consolas" w:cs="Consolas"/>
                <w:color w:val="484550"/>
                <w:sz w:val="15"/>
                <w:szCs w:val="15"/>
              </w:rPr>
              <w:t xml:space="preserve">Docker · Kubernetes · K3s · OpenShift · Longhorn · MetalLB · ingress-nginx · cert-manager · Sealed Secrets</w:t>
            </w:r>
          </w:p>
        </w:tc>
      </w:tr>
      <w:tr>
        <w:tc>
          <w:tcPr>
            <w:tcW w:w="512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3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8"/>
                <w:szCs w:val="18"/>
              </w:rPr>
              <w:t xml:space="preserve">Cloud &amp; IaC</w:t>
            </w:r>
          </w:p>
          <w:p>
            <w:pPr>
              <w:spacing w:before="0" w:after="50" w:line="252" w:lineRule="auto"/>
            </w:pPr>
            <w:r>
              <w:rPr>
                <w:rFonts w:ascii="Consolas" w:hAnsi="Consolas" w:cs="Consolas"/>
                <w:color w:val="484550"/>
                <w:sz w:val="15"/>
                <w:szCs w:val="15"/>
              </w:rPr>
              <w:t xml:space="preserve">Azure and Terraform (BPCE Lease migration 2021) · XCP-ng · vSphere · Docker Compose</w:t>
            </w:r>
          </w:p>
        </w:tc>
        <w:tc>
          <w:tcPr>
            <w:tcW w:w="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512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3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8"/>
                <w:szCs w:val="18"/>
              </w:rPr>
              <w:t xml:space="preserve">Systems</w:t>
            </w:r>
          </w:p>
          <w:p>
            <w:pPr>
              <w:spacing w:before="0" w:after="50" w:line="252" w:lineRule="auto"/>
            </w:pPr>
            <w:r>
              <w:rPr>
                <w:rFonts w:ascii="Consolas" w:hAnsi="Consolas" w:cs="Consolas"/>
                <w:color w:val="484550"/>
                <w:sz w:val="15"/>
                <w:szCs w:val="15"/>
              </w:rPr>
              <w:t xml:space="preserve">Red Hat (RHEL 6 → 9.5) · SUSE · Debian/Arch · AIX · Solaris · Windows Server · Apache HTTPD · JBoss · Nginx</w:t>
            </w:r>
          </w:p>
        </w:tc>
      </w:tr>
      <w:tr>
        <w:tc>
          <w:tcPr>
            <w:tcW w:w="512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3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8"/>
                <w:szCs w:val="18"/>
              </w:rPr>
              <w:t xml:space="preserve">Observability</w:t>
            </w:r>
          </w:p>
          <w:p>
            <w:pPr>
              <w:spacing w:before="0" w:after="50" w:line="252" w:lineRule="auto"/>
            </w:pPr>
            <w:r>
              <w:rPr>
                <w:rFonts w:ascii="Consolas" w:hAnsi="Consolas" w:cs="Consolas"/>
                <w:color w:val="484550"/>
                <w:sz w:val="15"/>
                <w:szCs w:val="15"/>
              </w:rPr>
              <w:t xml:space="preserve">Prometheus · Grafana · Loki · OpenTelemetry · VictoriaMetrics · Centreon · Zabbix · AppDynamics · Splunk</w:t>
            </w:r>
          </w:p>
        </w:tc>
        <w:tc>
          <w:tcPr>
            <w:tcW w:w="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512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3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8"/>
                <w:szCs w:val="18"/>
              </w:rPr>
              <w:t xml:space="preserve">Security</w:t>
            </w:r>
          </w:p>
          <w:p>
            <w:pPr>
              <w:spacing w:before="0" w:after="50" w:line="252" w:lineRule="auto"/>
            </w:pPr>
            <w:r>
              <w:rPr>
                <w:rFonts w:ascii="Consolas" w:hAnsi="Consolas" w:cs="Consolas"/>
                <w:color w:val="484550"/>
                <w:sz w:val="15"/>
                <w:szCs w:val="15"/>
              </w:rPr>
              <w:t xml:space="preserve">SSL/TLS · OpenSSL · JKS keystores · Venafi · LDAP · Infisical · Authentik · Linux hardening</w:t>
            </w:r>
          </w:p>
        </w:tc>
      </w:tr>
      <w:tr>
        <w:tc>
          <w:tcPr>
            <w:tcW w:w="512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3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8"/>
                <w:szCs w:val="18"/>
              </w:rPr>
              <w:t xml:space="preserve">Languages</w:t>
            </w:r>
          </w:p>
          <w:p>
            <w:pPr>
              <w:spacing w:before="0" w:after="50" w:line="252" w:lineRule="auto"/>
            </w:pPr>
            <w:r>
              <w:rPr>
                <w:rFonts w:ascii="Consolas" w:hAnsi="Consolas" w:cs="Consolas"/>
                <w:color w:val="484550"/>
                <w:sz w:val="15"/>
                <w:szCs w:val="15"/>
              </w:rPr>
              <w:t xml:space="preserve">Bash · Python · jq · YAML · Jinja2 · JSON · Rust (basics) · C</w:t>
            </w:r>
          </w:p>
        </w:tc>
        <w:tc>
          <w:tcPr>
            <w:tcW w:w="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512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3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8"/>
                <w:szCs w:val="18"/>
              </w:rPr>
              <w:t xml:space="preserve">Ways of working</w:t>
            </w:r>
          </w:p>
          <w:p>
            <w:pPr>
              <w:spacing w:before="0" w:after="50" w:line="252" w:lineRule="auto"/>
            </w:pPr>
            <w:r>
              <w:rPr>
                <w:rFonts w:ascii="Consolas" w:hAnsi="Consolas" w:cs="Consolas"/>
                <w:color w:val="484550"/>
                <w:sz w:val="15"/>
                <w:szCs w:val="15"/>
              </w:rPr>
              <w:t xml:space="preserve">Run &amp; 24/7 on-call · ITIL · Agile · documentation · team training</w:t>
            </w:r>
          </w:p>
        </w:tc>
      </w:tr>
    </w:tbl>
    <w:p>
      <w:pPr>
        <w:keepNext/>
        <w:keepLines/>
        <w:spacing w:before="130" w:after="80" w:line="252" w:lineRule="auto"/>
      </w:pPr>
      <w:r>
        <w:rPr>
          <w:rFonts w:ascii="Consolas" w:hAnsi="Consolas" w:cs="Consolas"/>
          <w:b/>
          <w:bCs/>
          <w:color w:val="9775BA"/>
          <w:sz w:val="18"/>
          <w:szCs w:val="18"/>
        </w:rPr>
        <w:t xml:space="preserve">// </w:t>
      </w:r>
      <w:r>
        <w:rPr>
          <w:rFonts w:ascii="Consolas" w:hAnsi="Consolas" w:cs="Consolas"/>
          <w:b/>
          <w:bCs/>
          <w:color w:val="7a68b4"/>
          <w:spacing w:val="16"/>
          <w:sz w:val="18"/>
          <w:szCs w:val="18"/>
        </w:rPr>
        <w:t xml:space="preserve">PROJECTS</w:t>
      </w:r>
    </w:p>
    <w:tbl>
      <w:tblPr>
        <w:tblW w:w="10546" w:type="dxa"/>
        <w:tblLayout w:type="fixed"/>
        <w:tblCellMar>
          <w:left w:w="0" w:type="dxa"/>
          <w:right w:w="0" w:type="dxa"/>
        </w:tblCellMar>
      </w:tblPr>
      <w:tblGrid>
        <w:gridCol w:w="5153"/>
        <w:gridCol w:w="240"/>
        <w:gridCol w:w="5153"/>
      </w:tblGrid>
      <w:tr>
        <w:tc>
          <w:tcPr>
            <w:tcW w:w="5153" w:type="dxa"/>
            <w:tcBorders>
              <w:top w:val="single" w:sz="4" w:space="0" w:color="cac4d2"/>
              <w:left w:val="single" w:sz="24" w:space="0" w:color="6866A7"/>
              <w:bottom w:val="single" w:sz="4" w:space="0" w:color="cac4d2"/>
              <w:right w:val="single" w:sz="4" w:space="0" w:color="cac4d2"/>
            </w:tcBorders>
            <w:tcMar>
              <w:top w:w="120" w:type="dxa"/>
              <w:left w:w="160" w:type="dxa"/>
              <w:bottom w:w="120" w:type="dxa"/>
              <w:right w:w="140" w:type="dxa"/>
            </w:tcMar>
          </w:tcPr>
          <w:p>
            <w:pPr>
              <w:keepNext/>
              <w:keepLines/>
              <w:spacing w:before="0" w:after="2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9"/>
                <w:szCs w:val="19"/>
              </w:rPr>
              <w:t xml:space="preserve">Homelab K3s, 100 % GitOps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 w:cs="Consolas"/>
                <w:color w:val="7a68b4"/>
                <w:sz w:val="15"/>
                <w:szCs w:val="15"/>
              </w:rPr>
              <w:t xml:space="preserve">homelab.scasse.com</w:t>
            </w:r>
          </w:p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color w:val="484550"/>
                <w:sz w:val="16"/>
                <w:szCs w:val="16"/>
              </w:rPr>
              <w:t xml:space="preserve">3 Raspberry Pi 4, K3s 1.29, MetalLB, Longhorn, cert-manager, Sealed Secrets, Argo CD App-of-Apps (9 apps), 3 Ansible playbooks, Hugo docs deployed by GitLab CI.</w:t>
            </w:r>
          </w:p>
        </w:tc>
        <w:tc>
          <w:tcPr>
            <w:tcW w:w="2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5153" w:type="dxa"/>
            <w:tcBorders>
              <w:top w:val="single" w:sz="4" w:space="0" w:color="cac4d2"/>
              <w:left w:val="single" w:sz="24" w:space="0" w:color="A86F9F"/>
              <w:bottom w:val="single" w:sz="4" w:space="0" w:color="cac4d2"/>
              <w:right w:val="single" w:sz="4" w:space="0" w:color="cac4d2"/>
            </w:tcBorders>
            <w:tcMar>
              <w:top w:w="120" w:type="dxa"/>
              <w:left w:w="160" w:type="dxa"/>
              <w:bottom w:w="120" w:type="dxa"/>
              <w:right w:w="140" w:type="dxa"/>
            </w:tcMar>
          </w:tcPr>
          <w:p>
            <w:pPr>
              <w:keepNext/>
              <w:keepLines/>
              <w:spacing w:before="0" w:after="2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9"/>
                <w:szCs w:val="19"/>
              </w:rPr>
              <w:t xml:space="preserve">Hub — shared platform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 w:cs="Consolas"/>
                <w:color w:val="7a68b4"/>
                <w:sz w:val="15"/>
                <w:szCs w:val="15"/>
              </w:rPr>
              <w:t xml:space="preserve">NUC XCP-ng</w:t>
            </w:r>
          </w:p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color w:val="484550"/>
                <w:sz w:val="16"/>
                <w:szCs w:val="16"/>
              </w:rPr>
              <w:t xml:space="preserve">Gitea, Infisical, Authentik, observability OpenTelemetry → VictoriaMetrics → Grafana, Gitea Actions CI with a SonarQube quality gate.</w:t>
            </w:r>
          </w:p>
        </w:tc>
      </w:tr>
      <w:tr>
        <w:tc>
          <w:tcPr>
            <w:tcW w:w="5153" w:type="dxa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90" w:lineRule="exact"/>
            </w:pPr>
          </w:p>
        </w:tc>
        <w:tc>
          <w:tcPr>
            <w:tcW w:w="2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90" w:lineRule="exact"/>
            </w:pPr>
          </w:p>
        </w:tc>
        <w:tc>
          <w:tcPr>
            <w:tcW w:w="5153" w:type="dxa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90" w:lineRule="exact"/>
            </w:pPr>
          </w:p>
        </w:tc>
      </w:tr>
      <w:tr>
        <w:tc>
          <w:tcPr>
            <w:tcW w:w="5153" w:type="dxa"/>
            <w:tcBorders>
              <w:top w:val="single" w:sz="4" w:space="0" w:color="cac4d2"/>
              <w:left w:val="single" w:sz="24" w:space="0" w:color="6866A7"/>
              <w:bottom w:val="single" w:sz="4" w:space="0" w:color="cac4d2"/>
              <w:right w:val="single" w:sz="4" w:space="0" w:color="cac4d2"/>
            </w:tcBorders>
            <w:tcMar>
              <w:top w:w="120" w:type="dxa"/>
              <w:left w:w="160" w:type="dxa"/>
              <w:bottom w:w="120" w:type="dxa"/>
              <w:right w:w="140" w:type="dxa"/>
            </w:tcMar>
          </w:tcPr>
          <w:p>
            <w:pPr>
              <w:keepNext/>
              <w:keepLines/>
              <w:spacing w:before="0" w:after="2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9"/>
                <w:szCs w:val="19"/>
              </w:rPr>
              <w:t xml:space="preserve">Skynet — local-first AI cockpit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 w:cs="Consolas"/>
                <w:color w:val="7a68b4"/>
                <w:sz w:val="15"/>
                <w:szCs w:val="15"/>
              </w:rPr>
              <w:t xml:space="preserve">Claude · MCP</w:t>
            </w:r>
          </w:p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color w:val="484550"/>
                <w:sz w:val="16"/>
                <w:szCs w:val="16"/>
              </w:rPr>
              <w:t xml:space="preserve">Personal assistant driven by Claude: semantic memory, MCP tools, fleet supervision, voice; continuous deployment to a VM.</w:t>
            </w:r>
          </w:p>
        </w:tc>
        <w:tc>
          <w:tcPr>
            <w:tcW w:w="2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5153" w:type="dxa"/>
            <w:tcBorders>
              <w:top w:val="single" w:sz="4" w:space="0" w:color="cac4d2"/>
              <w:left w:val="single" w:sz="24" w:space="0" w:color="A86F9F"/>
              <w:bottom w:val="single" w:sz="4" w:space="0" w:color="cac4d2"/>
              <w:right w:val="single" w:sz="4" w:space="0" w:color="cac4d2"/>
            </w:tcBorders>
            <w:tcMar>
              <w:top w:w="120" w:type="dxa"/>
              <w:left w:w="160" w:type="dxa"/>
              <w:bottom w:w="120" w:type="dxa"/>
              <w:right w:w="140" w:type="dxa"/>
            </w:tcMar>
          </w:tcPr>
          <w:p>
            <w:pPr>
              <w:keepNext/>
              <w:keepLines/>
              <w:spacing w:before="0" w:after="2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9"/>
                <w:szCs w:val="19"/>
              </w:rPr>
              <w:t xml:space="preserve">nalarch — open source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 w:cs="Consolas"/>
                <w:color w:val="7a68b4"/>
                <w:sz w:val="15"/>
                <w:szCs w:val="15"/>
              </w:rPr>
              <w:t xml:space="preserve">Rust · MIT</w:t>
            </w:r>
          </w:p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color w:val="484550"/>
                <w:sz w:val="16"/>
                <w:szCs w:val="16"/>
              </w:rPr>
              <w:t xml:space="preserve">TUI package manager for Arch Linux; nothing runs without an approval screen.</w:t>
            </w:r>
          </w:p>
        </w:tc>
      </w:tr>
      <w:tr>
        <w:tc>
          <w:tcPr>
            <w:tcW w:w="5153" w:type="dxa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90" w:lineRule="exact"/>
            </w:pPr>
          </w:p>
        </w:tc>
        <w:tc>
          <w:tcPr>
            <w:tcW w:w="2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90" w:lineRule="exact"/>
            </w:pPr>
          </w:p>
        </w:tc>
        <w:tc>
          <w:tcPr>
            <w:tcW w:w="5153" w:type="dxa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90" w:lineRule="exact"/>
            </w:pPr>
          </w:p>
        </w:tc>
      </w:tr>
      <w:tr>
        <w:tc>
          <w:tcPr>
            <w:tcW w:w="5153" w:type="dxa"/>
            <w:tcBorders>
              <w:top w:val="single" w:sz="4" w:space="0" w:color="cac4d2"/>
              <w:left w:val="single" w:sz="24" w:space="0" w:color="6866A7"/>
              <w:bottom w:val="single" w:sz="4" w:space="0" w:color="cac4d2"/>
              <w:right w:val="single" w:sz="4" w:space="0" w:color="cac4d2"/>
            </w:tcBorders>
            <w:tcMar>
              <w:top w:w="120" w:type="dxa"/>
              <w:left w:w="160" w:type="dxa"/>
              <w:bottom w:w="120" w:type="dxa"/>
              <w:right w:w="140" w:type="dxa"/>
            </w:tcMar>
          </w:tcPr>
          <w:p>
            <w:pPr>
              <w:keepNext/>
              <w:keepLines/>
              <w:spacing w:before="0" w:after="2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9"/>
                <w:szCs w:val="19"/>
              </w:rPr>
              <w:t xml:space="preserve">Norteo — CMMS SaaS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 w:cs="Consolas"/>
                <w:color w:val="7a68b4"/>
                <w:sz w:val="15"/>
                <w:szCs w:val="15"/>
              </w:rPr>
              <w:t xml:space="preserve">React · Express · Prisma</w:t>
            </w:r>
          </w:p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color w:val="484550"/>
                <w:sz w:val="16"/>
                <w:szCs w:val="16"/>
              </w:rPr>
              <w:t xml:space="preserve">Multi-tenant white-label; Gitea Actions CI/CD, Blue-Green deployment, SonarQube quality.</w:t>
            </w:r>
          </w:p>
        </w:tc>
        <w:tc>
          <w:tcPr>
            <w:tcW w:w="2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515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</w:tr>
    </w:tbl>
    <w:p>
      <w:pPr>
        <w:spacing w:before="0" w:after="0" w:line="220" w:lineRule="exact"/>
      </w:pPr>
    </w:p>
    <w:tbl>
      <w:tblPr>
        <w:tblW w:w="105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</w:tblPr>
      <w:tblGrid>
        <w:gridCol w:w="3315"/>
        <w:gridCol w:w="300"/>
        <w:gridCol w:w="3315"/>
        <w:gridCol w:w="300"/>
        <w:gridCol w:w="3315"/>
      </w:tblGrid>
      <w:tr>
        <w:tc>
          <w:tcPr>
            <w:tcW w:w="331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80" w:line="252" w:lineRule="auto"/>
            </w:pPr>
            <w:r>
              <w:rPr>
                <w:rFonts w:ascii="Consolas" w:hAnsi="Consolas" w:cs="Consolas"/>
                <w:b/>
                <w:bCs/>
                <w:color w:val="9775BA"/>
                <w:sz w:val="18"/>
                <w:szCs w:val="18"/>
              </w:rPr>
              <w:t xml:space="preserve">// </w:t>
            </w:r>
            <w:r>
              <w:rPr>
                <w:rFonts w:ascii="Consolas" w:hAnsi="Consolas" w:cs="Consolas"/>
                <w:b/>
                <w:bCs/>
                <w:color w:val="7a68b4"/>
                <w:spacing w:val="16"/>
                <w:sz w:val="18"/>
                <w:szCs w:val="18"/>
              </w:rPr>
              <w:t xml:space="preserve">EDUCATION</w:t>
            </w:r>
          </w:p>
          <w:p>
            <w:pPr>
              <w:spacing w:before="0" w:after="40" w:line="252" w:lineRule="auto"/>
              <w:ind w:left="340" w:hanging="340"/>
            </w:pPr>
            <w:r>
              <w:rPr>
                <w:rFonts w:ascii="Consolas" w:hAnsi="Consolas" w:cs="Consolas"/>
                <w:b/>
                <w:bCs/>
                <w:color w:val="A86F9F"/>
                <w:sz w:val="16"/>
                <w:szCs w:val="16"/>
              </w:rPr>
              <w:t xml:space="preserve">2019  </w:t>
            </w:r>
            <w:r>
              <w:rPr>
                <w:rFonts w:ascii="Calibri" w:hAnsi="Calibri" w:cs="Calibri"/>
                <w:color w:val="484550"/>
                <w:sz w:val="16"/>
                <w:szCs w:val="16"/>
              </w:rPr>
              <w:t xml:space="preserve">DevOps tooling training: Ansible / Jenkins</w:t>
            </w:r>
          </w:p>
          <w:p>
            <w:pPr>
              <w:spacing w:before="0" w:after="40" w:line="252" w:lineRule="auto"/>
              <w:ind w:left="340" w:hanging="340"/>
            </w:pPr>
            <w:r>
              <w:rPr>
                <w:rFonts w:ascii="Consolas" w:hAnsi="Consolas" w:cs="Consolas"/>
                <w:b/>
                <w:bCs/>
                <w:color w:val="A86F9F"/>
                <w:sz w:val="16"/>
                <w:szCs w:val="16"/>
              </w:rPr>
              <w:t xml:space="preserve">2018  </w:t>
            </w:r>
            <w:r>
              <w:rPr>
                <w:rFonts w:ascii="Calibri" w:hAnsi="Calibri" w:cs="Calibri"/>
                <w:color w:val="484550"/>
                <w:sz w:val="16"/>
                <w:szCs w:val="16"/>
              </w:rPr>
              <w:t xml:space="preserve">ITIL certification (level 1)</w:t>
            </w:r>
          </w:p>
          <w:p>
            <w:pPr>
              <w:spacing w:before="0" w:after="40" w:line="252" w:lineRule="auto"/>
              <w:ind w:left="340" w:hanging="340"/>
            </w:pPr>
            <w:r>
              <w:rPr>
                <w:rFonts w:ascii="Consolas" w:hAnsi="Consolas" w:cs="Consolas"/>
                <w:b/>
                <w:bCs/>
                <w:color w:val="A86F9F"/>
                <w:sz w:val="16"/>
                <w:szCs w:val="16"/>
              </w:rPr>
              <w:t xml:space="preserve">2017  </w:t>
            </w:r>
            <w:r>
              <w:rPr>
                <w:rFonts w:ascii="Calibri" w:hAnsi="Calibri" w:cs="Calibri"/>
                <w:color w:val="484550"/>
                <w:sz w:val="16"/>
                <w:szCs w:val="16"/>
              </w:rPr>
              <w:t xml:space="preserve">École 42 Paris “Piscine” — C programming, start of a self-taught path</w:t>
            </w:r>
          </w:p>
          <w:p>
            <w:pPr>
              <w:spacing w:before="0" w:after="40" w:line="252" w:lineRule="auto"/>
              <w:ind w:left="340" w:hanging="340"/>
            </w:pPr>
            <w:r>
              <w:rPr>
                <w:rFonts w:ascii="Consolas" w:hAnsi="Consolas" w:cs="Consolas"/>
                <w:b/>
                <w:bCs/>
                <w:color w:val="A86F9F"/>
                <w:sz w:val="16"/>
                <w:szCs w:val="16"/>
              </w:rPr>
              <w:t xml:space="preserve">2016  </w:t>
            </w:r>
            <w:r>
              <w:rPr>
                <w:rFonts w:ascii="Calibri" w:hAnsi="Calibri" w:cs="Calibri"/>
                <w:color w:val="484550"/>
                <w:sz w:val="16"/>
                <w:szCs w:val="16"/>
              </w:rPr>
              <w:t xml:space="preserve">AIX administration certification (level 1)</w:t>
            </w:r>
          </w:p>
        </w:tc>
        <w:tc>
          <w:tcPr>
            <w:tcW w:w="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331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80" w:line="252" w:lineRule="auto"/>
            </w:pPr>
            <w:r>
              <w:rPr>
                <w:rFonts w:ascii="Consolas" w:hAnsi="Consolas" w:cs="Consolas"/>
                <w:b/>
                <w:bCs/>
                <w:color w:val="9775BA"/>
                <w:sz w:val="18"/>
                <w:szCs w:val="18"/>
              </w:rPr>
              <w:t xml:space="preserve">// </w:t>
            </w:r>
            <w:r>
              <w:rPr>
                <w:rFonts w:ascii="Consolas" w:hAnsi="Consolas" w:cs="Consolas"/>
                <w:b/>
                <w:bCs/>
                <w:color w:val="7a68b4"/>
                <w:spacing w:val="16"/>
                <w:sz w:val="18"/>
                <w:szCs w:val="18"/>
              </w:rPr>
              <w:t xml:space="preserve">LANGUAGES</w:t>
            </w:r>
          </w:p>
          <w:p>
            <w:pPr>
              <w:spacing w:before="0" w:after="5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6"/>
                <w:szCs w:val="16"/>
              </w:rPr>
              <w:t xml:space="preserve">French</w:t>
            </w:r>
            <w:r>
              <w:rPr>
                <w:rFonts w:ascii="Calibri" w:hAnsi="Calibri" w:cs="Calibri"/>
                <w:color w:val="484550"/>
                <w:sz w:val="16"/>
                <w:szCs w:val="16"/>
              </w:rPr>
              <w:t xml:space="preserve"> — native</w:t>
            </w:r>
          </w:p>
          <w:p>
            <w:pPr>
              <w:spacing w:before="0" w:after="5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6"/>
                <w:szCs w:val="16"/>
              </w:rPr>
              <w:t xml:space="preserve">English</w:t>
            </w:r>
            <w:r>
              <w:rPr>
                <w:rFonts w:ascii="Calibri" w:hAnsi="Calibri" w:cs="Calibri"/>
                <w:color w:val="484550"/>
                <w:sz w:val="16"/>
                <w:szCs w:val="16"/>
              </w:rPr>
              <w:t xml:space="preserve"> — professional — team meetings run in English</w:t>
            </w:r>
          </w:p>
        </w:tc>
        <w:tc>
          <w:tcPr>
            <w:tcW w:w="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331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80" w:line="252" w:lineRule="auto"/>
            </w:pPr>
            <w:r>
              <w:rPr>
                <w:rFonts w:ascii="Consolas" w:hAnsi="Consolas" w:cs="Consolas"/>
                <w:b/>
                <w:bCs/>
                <w:color w:val="9775BA"/>
                <w:sz w:val="18"/>
                <w:szCs w:val="18"/>
              </w:rPr>
              <w:t xml:space="preserve">// </w:t>
            </w:r>
            <w:r>
              <w:rPr>
                <w:rFonts w:ascii="Consolas" w:hAnsi="Consolas" w:cs="Consolas"/>
                <w:b/>
                <w:bCs/>
                <w:color w:val="7a68b4"/>
                <w:spacing w:val="16"/>
                <w:sz w:val="18"/>
                <w:szCs w:val="18"/>
              </w:rPr>
              <w:t xml:space="preserve">WHAT THEY SAY</w:t>
            </w:r>
          </w:p>
          <w:p>
            <w:pPr>
              <w:spacing w:before="0" w:after="60" w:line="252" w:lineRule="auto"/>
            </w:pPr>
            <w:r>
              <w:rPr>
                <w:rFonts w:ascii="Calibri" w:hAnsi="Calibri" w:cs="Calibri"/>
                <w:i/>
                <w:color w:val="1c1b20"/>
                <w:sz w:val="16"/>
                <w:szCs w:val="16"/>
              </w:rPr>
              <w:t xml:space="preserve">« Autonomous, structured, documented. A reference on our scope. »</w:t>
            </w:r>
          </w:p>
          <w:p>
            <w:pPr>
              <w:spacing w:before="0" w:after="60" w:line="252" w:lineRule="auto"/>
            </w:pPr>
            <w:r>
              <w:rPr>
                <w:rFonts w:ascii="Calibri" w:hAnsi="Calibri" w:cs="Calibri"/>
                <w:i/>
                <w:color w:val="1c1b20"/>
                <w:sz w:val="16"/>
                <w:szCs w:val="16"/>
              </w:rPr>
              <w:t xml:space="preserve">« Able to take a technical project from A to Z, even in a sensitive environment. »</w:t>
            </w:r>
          </w:p>
        </w:tc>
      </w:tr>
    </w:tbl>
    <w:sectPr>
      <w:pgSz w:w="11906" w:h="16838"/>
      <w:pgMar w:top="680" w:right="680" w:bottom="680" w:left="680" w:header="0" w:footer="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color w:val="1c1b20"/>
        <w:sz w:val="19"/>
        <w:szCs w:val="19"/>
      </w:rPr>
    </w:rPrDefault>
    <w:pPrDefault>
      <w:pPr>
        <w:spacing w:after="60" w:line="252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tyles" Target="styles.xml"/><Relationship Id="rId4" Type="http://schemas.openxmlformats.org/officeDocument/2006/relationships/image" Target="media/logo.png"/></Relationships>
</file>