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5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14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4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868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Île-de-France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Ingénieur DevOps Freelance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Build · Intégration · Automatisation</w:t>
            </w:r>
          </w:p>
        </w:tc>
      </w:tr>
    </w:tbl>
    <w:tbl>
      <w:tblPr>
        <w:tblW w:w="10546" w:type="dxa"/>
        <w:tblLayout w:type="fixed"/>
        <w:tblCellMar>
          <w:left w:w="0" w:type="dxa"/>
          <w:right w:w="0" w:type="dxa"/>
        </w:tblCellMar>
      </w:tblPr>
      <w:tblGrid>
        <w:gridCol w:w="10546"/>
      </w:tblGrid>
      <w:tr>
        ['
        <w:tc>
          <w:tcPr>
            <w:tcW w:w="1054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homelab.scasse.com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Dix ans en production bancaire (Amundi, BPCE). J'industrialise les déploiements, j'automatise les chaînes CI/CD et je livre des environnements portables, documentés et sécurisés — du commit à la prod, sans clic manuel.</w:t>
      </w:r>
    </w:p>
    <w:tbl>
      <w:tblPr>
        <w:tblW w:w="10484" w:type="dxa"/>
        <w:tblLayout w:type="fixed"/>
        <w:tblCellMar>
          <w:left w:w="0" w:type="dxa"/>
          <w:right w:w="0" w:type="dxa"/>
        </w:tblCellMar>
      </w:tblPr>
      <w:tblGrid>
        <w:gridCol w:w="2576"/>
        <w:gridCol w:w="60"/>
        <w:gridCol w:w="2576"/>
        <w:gridCol w:w="60"/>
        <w:gridCol w:w="2576"/>
        <w:gridCol w:w="60"/>
        <w:gridCol w:w="2576"/>
      </w:tblGrid>
      <w:tr>
        <w:tc>
          <w:tcPr>
            <w:tcW w:w="257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10 ans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production bancaire &amp; finance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57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4 clients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Amundi, BPCE IT, BPCE Lease, Euler Hermes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57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stack Apache adoptée en prod groupe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57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9 apps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GitOps sur mon cluster K3s</w:t>
            </w:r>
          </w:p>
        </w:tc>
      </w:tr>
    </w:tbl>
    <w:p>
      <w:pPr>
        <w:keepNext/>
        <w:keepLines/>
        <w:spacing w:before="13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EXPÉRIENCES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 — BPCE Financement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nov. 2024 → aujourd'hui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Ingénieur DevOps Build &amp; Intégration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hybride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Industrialiser et sécuriser les composants web et certificats du groupe ; référent d'un pôle applicatif.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Stack Apache HTTPD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portable</w:t>
      </w:r>
      <w:r>
        <w:rPr>
          <w:rFonts w:ascii="Calibri" w:hAnsi="Calibri" w:cs="Calibri"/>
          <w:color w:val="484550"/>
          <w:sz w:val="18"/>
          <w:szCs w:val="18"/>
        </w:rPr>
        <w:t xml:space="preserve"> compilée sur RHEL 6 → 9.5, packaging sans dépendance système, SSL/LDAP sans privilège root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adoptée comme standard de production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Chaîne CI/CD Bitbucket → Jenkins → Artifactory → XL Deploy ; documentation build, upgrade et déploiement.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Automatisation des keystores/truststores JKS : Bash + jq, inventaires Ansible dynamiques, publication Artifactory, diffusion Jenkins → XLD.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Run quotidien, astreintes 24/7, interface équipes techniques / directions métier ; formation de l'équipe (Ansible, AP2) et présentation groupe d'AP2.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 Technologies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janv. 2022 → déc.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Ingénieur DevOps — référent applicatif, lead technique adjoint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hybride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Périmètres Finance, Épargne salariale et Gestion privée ; automatisation des déploiements et stabilité applicative.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Automatisation de la bascule des clusters applicatifs et bases 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80 % de temps gagné</w:t>
      </w:r>
      <w:r>
        <w:rPr>
          <w:rFonts w:ascii="Calibri" w:hAnsi="Calibri" w:cs="Calibri"/>
          <w:color w:val="484550"/>
          <w:sz w:val="18"/>
          <w:szCs w:val="18"/>
        </w:rPr>
        <w:t xml:space="preserve"> lors des PSI, risque d'erreur humaine quasi supprimé.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Déploiements Git → AWX → Ansible ; Control-M « as code » (JSON/Jinja2 déployés par playbook).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Onboarding Kubernetes : Helm charts, ConfigMaps/Secrets, pipelines Jenkins, synchronisation ArgoCD.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Migration Oracle Financials &amp; OBIEE de Solaris vers SUSE ; animation de réunions d'équipe en anglais ; formation des arrivants.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Lease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déc. 2020 → déc. 2021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Lead technique cloud &amp; ingénieur de production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hybride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Migration d'une application critique vers Azure, menée seul après le départ du chef de projet à trois semaines.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Migration PowerBI → Azure de A à Z : sizing, réseau, sécurité, droits, gateway, ODBC ;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livrée sans encadrement</w:t>
      </w:r>
      <w:r>
        <w:rPr>
          <w:rFonts w:ascii="Calibri" w:hAnsi="Calibri" w:cs="Calibri"/>
          <w:color w:val="484550"/>
          <w:sz w:val="18"/>
          <w:szCs w:val="18"/>
        </w:rPr>
        <w:t xml:space="preserve"> et documentée (technique, fonctionnel, coûts).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Pipeline CI/CD XL Deploy / XL Release avec Terraform ; supervision Zabbix ; chaînes de redémarrage Control-M.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Run du périmètre en parallèle, sans dégradation de service ; astreintes 24/7.</w:t>
      </w:r>
    </w:p>
    <w:p>
      <w:r>
        <w:br w:type="page"/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nov. 2018 → déc. 2020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Analyste d'exploitation — production applicative</w:t>
      </w:r>
      <w:r>
        <w:rPr>
          <w:rFonts w:ascii="Calibri" w:hAnsi="Calibri" w:cs="Calibri"/>
          <w:color w:val="7C7889"/>
          <w:sz w:val="18"/>
          <w:szCs w:val="18"/>
        </w:rPr>
        <w:t xml:space="preserve"> · Paris 15e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Supervision temps réel des batchs (Control-M) et alertes (Centreon), mises en production, procédures ITIL, horaires étendus.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Euler Hermes France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juil. 2015 → oct. 2017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Technicien d'exploitation &amp; datacenter</w:t>
      </w:r>
      <w:r>
        <w:rPr>
          <w:rFonts w:ascii="Calibri" w:hAnsi="Calibri" w:cs="Calibri"/>
          <w:color w:val="7C7889"/>
          <w:sz w:val="18"/>
          <w:szCs w:val="18"/>
        </w:rPr>
        <w:t xml:space="preserve"> · La Défense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Exploitation multi-OS (Unix, AIX, Windows), TWS/IWS, Nagios, SAP/CICS/WAS ; 6 mois en datacenter (brassage fibre, rackage, mise en production physique).</w:t>
      </w:r>
    </w:p>
    <w:p>
      <w:pPr>
        <w:keepNext/>
        <w:keepLines/>
        <w:spacing w:before="13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COMPÉTENCES</w:t>
      </w:r>
    </w:p>
    <w:tbl>
      <w:tblPr>
        <w:tblW w:w="105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123"/>
        <w:gridCol w:w="300"/>
        <w:gridCol w:w="5123"/>
      </w:tblGrid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Automatisation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Conteneurs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OpenShift · Longhorn · MetalLB · ingress-nginx · cert-manager · Sealed Secrets</w:t>
            </w:r>
          </w:p>
        </w:tc>
      </w:tr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et Terraform (migration BPCE Lease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Systèmes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Observabilité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Sécurité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keystores JKS · Venafi · LDAP · Infisical · Authentik · durcissement Linux</w:t>
            </w:r>
          </w:p>
        </w:tc>
      </w:tr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(notions) · C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Méthodes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Run &amp; astreintes 24/7 · ITIL · Agile · documentation · formation d'équipes</w:t>
            </w:r>
          </w:p>
        </w:tc>
      </w:tr>
    </w:tbl>
    <w:p>
      <w:pPr>
        <w:keepNext/>
        <w:keepLines/>
        <w:spacing w:before="13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PROJETS</w:t>
      </w:r>
    </w:p>
    <w:tbl>
      <w:tblPr>
        <w:tblW w:w="10546" w:type="dxa"/>
        <w:tblLayout w:type="fixed"/>
        <w:tblCellMar>
          <w:left w:w="0" w:type="dxa"/>
          <w:right w:w="0" w:type="dxa"/>
        </w:tblCellMar>
      </w:tblPr>
      <w:tblGrid>
        <w:gridCol w:w="5153"/>
        <w:gridCol w:w="240"/>
        <w:gridCol w:w="5153"/>
      </w:tblGrid>
      <w:tr>
        <w:tc>
          <w:tcPr>
            <w:tcW w:w="515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 1.29, MetalLB, Longhorn, cert-manager, Sealed Secrets, Argo CD App-of-Apps (9 apps), 3 playbooks Ansible, doc Hugo déployée par GitLab CI.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5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Hub — plateforme mutualisée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NUC XCP-ng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Gitea, Infisical, Authentik, observabilité OpenTelemetry → VictoriaMetrics → Grafana, CI Gitea Actions avec porte SonarQube.</w:t>
            </w:r>
          </w:p>
        </w:tc>
      </w:tr>
      <w:tr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15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cockpit IA local-first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Assistant personnel piloté par Claude : mémoire sémantique, outils MCP, supervision du parc, voix ; déploiement continu sur VM.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5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Gestionnaire de paquets TUI pour Arch Linux ; rien ne s'exécute sans écran d'approbation.</w:t>
            </w:r>
          </w:p>
        </w:tc>
      </w:tr>
      <w:tr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15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Norteo — GMAO SaaS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React · Express · Prisma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Multi-instance white-label ; CI/CD Gitea Actions, déploiement Blue-Green, qualité SonarQube.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220" w:lineRule="exact"/>
      </w:pPr>
    </w:p>
    <w:tbl>
      <w:tblPr>
        <w:tblW w:w="10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3315"/>
        <w:gridCol w:w="300"/>
        <w:gridCol w:w="3315"/>
        <w:gridCol w:w="300"/>
        <w:gridCol w:w="3315"/>
      </w:tblGrid>
      <w:tr>
        <w:tc>
          <w:tcPr>
            <w:tcW w:w="33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FORMATION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2019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Formation outils DevOps Ansible / Jenkins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Certification ITIL (niv.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Piscine École 42 Paris — programmation C, point de départ autodidacte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Certification administration AIX (niv.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33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Français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natif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Anglais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opérationnel — réunions d'équipe animées en anglais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33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ON DIT DE MOI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 w:cs="Calibri"/>
                <w:i/>
                <w:color w:val="1c1b20"/>
                <w:sz w:val="16"/>
                <w:szCs w:val="16"/>
              </w:rPr>
              <w:t xml:space="preserve">« Autonome, structuré, documenté. Une référence sur notre périmètre. »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 w:cs="Calibri"/>
                <w:i/>
                <w:color w:val="1c1b20"/>
                <w:sz w:val="16"/>
                <w:szCs w:val="16"/>
              </w:rPr>
              <w:t xml:space="preserve">« Capable de prendre un projet technique en main de A à Z, même en environnement sensible. »</w:t>
            </w:r>
          </w:p>
        </w:tc>
      </w:tr>
    </w:tbl>
    <w:sectPr>
      <w:pgSz w:w="11906" w:h="16838"/>
      <w:pgMar w:top="680" w:right="680" w:bottom="680" w:left="68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