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08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1400"/>
        <w:gridCol w:w="9426"/>
      </w:tblGrid>
      <w:tr>
        <w:tc>
          <w:tcPr>
            <w:tcW w:w="1400" w:type="dxa"/>
            <w:shd w:val="clear" w:color="auto" w:fill="F3EAF6"/>
            <w:tcMar>
              <w:top w:w="240" w:type="dxa"/>
              <w:left w:w="260" w:type="dxa"/>
              <w:bottom w:w="240" w:type="dxa"/>
              <w:right w:w="0" w:type="dxa"/>
            </w:tcMar>
          </w:tcPr>
          <w:p>
            <w:pPr>
              <w:spacing w:before="0" w:after="0" w:line="252" w:lineRule="auto"/>
            </w:pPr>
            <w:r>
              <w:drawing>
                <wp:inline distT="0" distB="0" distL="0" distR="0">
                  <wp:extent cx="590550" cy="609600"/>
                  <wp:docPr id="1" name="Logo CS Consulting"/>
                  <a:graphic>
                    <a:graphicData uri="http://schemas.openxmlformats.org/drawingml/2006/picture">
                      <pic:pic>
                        <pic:nvPicPr>
                          <pic:cNvPr id="1" name="logo.png"/>
                          <pic:cNvPicPr/>
                        </pic:nvPicPr>
                        <pic:blipFill>
                          <a:blip r:embed="rId4"/>
                          <a:stretch>
                            <a:fillRect/>
                          </a:stretch>
                        </pic:blipFill>
                        <pic:spPr>
                          <a:xfrm>
                            <a:off x="0" y="0"/>
                            <a:ext cx="590550" cy="609600"/>
                          </a:xfrm>
                          <a:prstGeom prst="rect">
                            <a:avLst/>
                          </a:prstGeom>
                        </pic:spPr>
                      </pic:pic>
                    </a:graphicData>
                  </a:graphic>
                </wp:inline>
              </w:drawing>
            </w:r>
          </w:p>
        </w:tc>
        <w:tc>
          <w:tcPr>
            <w:tcW w:w="9426" w:type="dxa"/>
            <w:shd w:val="clear" w:color="auto" w:fill="F3EAF6"/>
            <w:tcMar>
              <w:top w:w="240" w:type="dxa"/>
              <w:left w:w="220" w:type="dxa"/>
              <w:bottom w:w="240" w:type="dxa"/>
              <w:right w:w="240" w:type="dxa"/>
            </w:tcMar>
          </w:tcPr>
          <w:p>
            <w:pPr>
              <w:tabs>
                <w:tab w:val="right" w:pos="8966"/>
              </w:tabs>
              <w:spacing w:before="0" w:after="40" w:line="252" w:lineRule="auto"/>
            </w:pPr>
            <w:r>
              <w:rPr>
                <w:rFonts w:ascii="Consolas" w:hAnsi="Consolas" w:cs="Consolas"/>
                <w:color w:val="6866A7"/>
                <w:sz w:val="17"/>
                <w:szCs w:val="17"/>
              </w:rPr>
              <w:t xml:space="preserve">~/cs-consulting $ whoami</w:t>
            </w:r>
            <w:r>
              <w:rPr>
                <w:rFonts w:ascii="Calibri" w:hAnsi="Calibri" w:cs="Calibri"/>
                <w:sz w:val="19"/>
                <w:szCs w:val="19"/>
              </w:rPr>
              <w:tab/>
            </w:r>
            <w:r>
              <w:rPr>
                <w:rFonts w:ascii="Consolas" w:hAnsi="Consolas" w:cs="Consolas"/>
                <w:color w:val="5B5866"/>
                <w:sz w:val="17"/>
                <w:szCs w:val="17"/>
              </w:rPr>
              <w:t xml:space="preserve">Île-de-France · Remote</w:t>
            </w:r>
          </w:p>
          <w:p>
            <w:pPr>
              <w:spacing w:before="0" w:after="40" w:line="252" w:lineRule="auto"/>
            </w:pPr>
            <w:r>
              <w:rPr>
                <w:rFonts w:ascii="Calibri" w:hAnsi="Calibri" w:cs="Calibri"/>
                <w:b/>
                <w:bCs/>
                <w:color w:val="1c1b20"/>
                <w:sz w:val="44"/>
                <w:szCs w:val="44"/>
              </w:rPr>
              <w:t xml:space="preserve">Stephen Casse</w:t>
            </w:r>
            <w:r>
              <w:rPr>
                <w:rFonts w:ascii="Calibri" w:hAnsi="Calibri" w:cs="Calibri"/>
                <w:color w:val="5B5866"/>
                <w:sz w:val="44"/>
                <w:szCs w:val="44"/>
              </w:rPr>
              <w:t xml:space="preserve"> · ksh</w:t>
            </w:r>
          </w:p>
          <w:p>
            <w:pPr>
              <w:spacing w:before="0" w:after="0" w:line="252" w:lineRule="auto"/>
            </w:pPr>
            <w:r>
              <w:rPr>
                <w:rFonts w:ascii="Calibri" w:hAnsi="Calibri" w:cs="Calibri"/>
                <w:b/>
                <w:bCs/>
                <w:color w:val="6866A7"/>
                <w:sz w:val="19"/>
                <w:szCs w:val="19"/>
              </w:rPr>
              <w:t xml:space="preserve">Ingénieur DevOps / SRE Freelance</w:t>
            </w:r>
            <w:r>
              <w:rPr>
                <w:rFonts w:ascii="Calibri" w:hAnsi="Calibri" w:cs="Calibri"/>
                <w:color w:val="5B5866"/>
                <w:sz w:val="19"/>
                <w:szCs w:val="19"/>
              </w:rPr>
              <w:t xml:space="preserve"> — Vérification · Automatisation</w:t>
            </w:r>
          </w:p>
        </w:tc>
      </w:tr>
    </w:tbl>
    <w:tbl>
      <w:tblPr>
        <w:tblW w:w="10826" w:type="dxa"/>
        <w:tblLayout w:type="fixed"/>
        <w:tblCellMar>
          <w:left w:w="0" w:type="dxa"/>
          <w:right w:w="0" w:type="dxa"/>
        </w:tblCellMar>
      </w:tblPr>
      <w:tblGrid>
        <w:gridCol w:w="10826"/>
      </w:tblGrid>
      <w:tr>
        ['
        <w:tc>
          <w:tcPr>
            <w:tcW w:w="10826" w:type="dxa"/>
            <w:tcBorders>
              <w:top w:val="single" w:sz="4" w:space="0" w:color="f7f2f9"/>
              <w:left w:val="single" w:sz="4" w:space="0" w:color="f7f2f9"/>
              <w:bottom w:val="single" w:sz="4" w:space="0" w:color="cac4d2"/>
              <w:right w:val="single" w:sz="4" w:space="0" w:color="f7f2f9"/>
            </w:tcBorders>
            <w:shd w:val="clear" w:color="auto" w:fill="f7f2f9"/>
            <w:tcMar>
              <w:top w:w="110" w:type="dxa"/>
              <w:left w:w="220" w:type="dxa"/>
              <w:bottom w:w="110" w:type="dxa"/>
              <w:right w:w="220" w:type="dxa"/>
            </w:tcMar>
          </w:tcPr>
          <w:p>
            <w:pPr>
              <w:spacing w:before="0" w:after="0" w:line="252" w:lineRule="auto"/>
            </w:pPr>
            <w:r>
              <w:rPr>
                <w:rFonts w:ascii="Calibri" w:hAnsi="Calibri" w:cs="Calibri"/>
                <w:color w:val="484550"/>
                <w:sz w:val="17"/>
                <w:szCs w:val="17"/>
              </w:rPr>
              <w:t xml:space="preserve">contact@scasse.com · 06 58 44 35 79 · linkedin.com/in/stephen-casse · github.com/ksh2177 · ksh2177.github.io</w:t>
            </w:r>
          </w:p>
        </w:tc>
        ']
      </w:tr>
    </w:tbl>
    <w:p>
      <w:pPr>
        <w:spacing w:before="0" w:after="0" w:line="200" w:lineRule="exact"/>
      </w:pPr>
    </w:p>
    <w:p>
      <w:pPr>
        <w:spacing w:before="0" w:after="180" w:line="276" w:lineRule="auto"/>
      </w:pPr>
      <w:r>
        <w:rPr>
          <w:rFonts w:ascii="Calibri" w:hAnsi="Calibri" w:cs="Calibri"/>
          <w:color w:val="1c1b20"/>
          <w:sz w:val="21"/>
          <w:szCs w:val="21"/>
        </w:rPr>
        <w:t xml:space="preserve">Onze ans en production bancaire critique (Amundi, BPCE, Euler Hermes), et l'exploitation de mes propres produits — paiement Stripe, agrégation bancaire DSP2. J'applique l'ingénierie de production aux systèmes IA : pas les prompts, ce qu'il y a autour — preuve exécutable, coût mesuré, sécurité auditée, plan de sortie testé.</w:t>
      </w:r>
    </w:p>
    <w:tbl>
      <w:tblPr>
        <w:tblW w:w="10764" w:type="dxa"/>
        <w:tblLayout w:type="fixed"/>
        <w:tblCellMar>
          <w:left w:w="0" w:type="dxa"/>
          <w:right w:w="0" w:type="dxa"/>
        </w:tblCellMar>
      </w:tblPr>
      <w:tblGrid>
        <w:gridCol w:w="2646"/>
        <w:gridCol w:w="60"/>
        <w:gridCol w:w="2646"/>
        <w:gridCol w:w="60"/>
        <w:gridCol w:w="2646"/>
        <w:gridCol w:w="60"/>
        <w:gridCol w:w="2646"/>
      </w:tblGrid>
      <w:tr>
        <w:tc>
          <w:tcPr>
            <w:tcW w:w="2646" w:type="dxa"/>
            <w:tcBorders>
              <w:top w:val="single" w:sz="24" w:space="0" w:color="6866A7"/>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11 ans</w:t>
            </w:r>
          </w:p>
          <w:p>
            <w:pPr>
              <w:spacing w:before="0" w:after="0" w:line="252" w:lineRule="auto"/>
            </w:pPr>
            <w:r>
              <w:rPr>
                <w:rFonts w:ascii="Calibri" w:hAnsi="Calibri" w:cs="Calibri"/>
                <w:color w:val="5B5866"/>
                <w:sz w:val="15"/>
                <w:szCs w:val="15"/>
              </w:rPr>
              <w:t xml:space="preserve">production bancaire critique</w:t>
            </w:r>
          </w:p>
        </w:tc>
        <w:tc>
          <w:tcPr>
            <w:tcW w:w="60" w:type="dxa"/>
            <w:tcMar>
              <w:top w:w="80" w:type="dxa"/>
              <w:left w:w="120" w:type="dxa"/>
              <w:bottom w:w="80" w:type="dxa"/>
              <w:right w:w="120" w:type="dxa"/>
            </w:tcMar>
          </w:tcPr>
          <w:p>
            <w:pPr>
              <w:spacing w:before="0" w:after="60" w:line="252" w:lineRule="auto"/>
            </w:pPr>
          </w:p>
        </w:tc>
        <w:tc>
          <w:tcPr>
            <w:tcW w:w="2646" w:type="dxa"/>
            <w:tcBorders>
              <w:top w:val="single" w:sz="24" w:space="0" w:color="A86F9F"/>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20 600 tests</w:t>
            </w:r>
          </w:p>
          <w:p>
            <w:pPr>
              <w:spacing w:before="0" w:after="0" w:line="252" w:lineRule="auto"/>
            </w:pPr>
            <w:r>
              <w:rPr>
                <w:rFonts w:ascii="Calibri" w:hAnsi="Calibri" w:cs="Calibri"/>
                <w:color w:val="5B5866"/>
                <w:sz w:val="15"/>
                <w:szCs w:val="15"/>
              </w:rPr>
              <w:t xml:space="preserve">sur un SaaS que j'exploite : paiement, agrégation bancaire</w:t>
            </w:r>
          </w:p>
        </w:tc>
        <w:tc>
          <w:tcPr>
            <w:tcW w:w="60" w:type="dxa"/>
            <w:tcMar>
              <w:top w:w="80" w:type="dxa"/>
              <w:left w:w="120" w:type="dxa"/>
              <w:bottom w:w="80" w:type="dxa"/>
              <w:right w:w="120" w:type="dxa"/>
            </w:tcMar>
          </w:tcPr>
          <w:p>
            <w:pPr>
              <w:spacing w:before="0" w:after="60" w:line="252" w:lineRule="auto"/>
            </w:pPr>
          </w:p>
        </w:tc>
        <w:tc>
          <w:tcPr>
            <w:tcW w:w="2646" w:type="dxa"/>
            <w:tcBorders>
              <w:top w:val="single" w:sz="24" w:space="0" w:color="6866A7"/>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~1 200 serveurs</w:t>
            </w:r>
          </w:p>
          <w:p>
            <w:pPr>
              <w:spacing w:before="0" w:after="0" w:line="252" w:lineRule="auto"/>
            </w:pPr>
            <w:r>
              <w:rPr>
                <w:rFonts w:ascii="Calibri" w:hAnsi="Calibri" w:cs="Calibri"/>
                <w:color w:val="5B5866"/>
                <w:sz w:val="15"/>
                <w:szCs w:val="15"/>
              </w:rPr>
              <w:t xml:space="preserve">service de consultation des logs, grand compte</w:t>
            </w:r>
          </w:p>
        </w:tc>
        <w:tc>
          <w:tcPr>
            <w:tcW w:w="60" w:type="dxa"/>
            <w:tcMar>
              <w:top w:w="80" w:type="dxa"/>
              <w:left w:w="120" w:type="dxa"/>
              <w:bottom w:w="80" w:type="dxa"/>
              <w:right w:w="120" w:type="dxa"/>
            </w:tcMar>
          </w:tcPr>
          <w:p>
            <w:pPr>
              <w:spacing w:before="0" w:after="60" w:line="252" w:lineRule="auto"/>
            </w:pPr>
          </w:p>
        </w:tc>
        <w:tc>
          <w:tcPr>
            <w:tcW w:w="2646" w:type="dxa"/>
            <w:tcBorders>
              <w:top w:val="single" w:sz="24" w:space="0" w:color="A86F9F"/>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 standard</w:t>
            </w:r>
          </w:p>
          <w:p>
            <w:pPr>
              <w:spacing w:before="0" w:after="0" w:line="252" w:lineRule="auto"/>
            </w:pPr>
            <w:r>
              <w:rPr>
                <w:rFonts w:ascii="Calibri" w:hAnsi="Calibri" w:cs="Calibri"/>
                <w:color w:val="5B5866"/>
                <w:sz w:val="15"/>
                <w:szCs w:val="15"/>
              </w:rPr>
              <w:t xml:space="preserve">stack Apache portable RHEL 6 → 9.5, adoptée en production</w:t>
            </w:r>
          </w:p>
        </w:tc>
      </w:tr>
    </w:tbl>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EXPÉRIENCES</w:t>
      </w:r>
    </w:p>
    <w:p>
      <w:pPr>
        <w:keepNext/>
        <w:keepLines/>
        <w:tabs>
          <w:tab w:val="right" w:pos="10826"/>
        </w:tabs>
        <w:spacing w:before="140" w:after="30" w:line="252" w:lineRule="auto"/>
      </w:pPr>
      <w:r>
        <w:rPr>
          <w:rFonts w:ascii="Calibri" w:hAnsi="Calibri" w:cs="Calibri"/>
          <w:b/>
          <w:bCs/>
          <w:color w:val="1c1b20"/>
          <w:sz w:val="22"/>
          <w:szCs w:val="22"/>
        </w:rPr>
        <w:t xml:space="preserve">CS Consulting</w:t>
      </w:r>
      <w:r>
        <w:rPr>
          <w:rFonts w:ascii="Calibri" w:hAnsi="Calibri" w:cs="Calibri"/>
          <w:sz w:val="19"/>
          <w:szCs w:val="19"/>
        </w:rPr>
        <w:tab/>
      </w:r>
      <w:r>
        <w:rPr>
          <w:rFonts w:ascii="Consolas" w:hAnsi="Consolas" w:cs="Consolas"/>
          <w:color w:val="A86F9F"/>
          <w:sz w:val="16"/>
          <w:szCs w:val="16"/>
        </w:rPr>
        <w:t xml:space="preserve">févr. 2020 → aujourd'hui</w:t>
      </w:r>
    </w:p>
    <w:p>
      <w:pPr>
        <w:keepNext/>
        <w:keepLines/>
        <w:spacing w:before="0" w:after="30" w:line="252" w:lineRule="auto"/>
      </w:pPr>
      <w:r>
        <w:rPr>
          <w:rFonts w:ascii="Calibri" w:hAnsi="Calibri" w:cs="Calibri"/>
          <w:b/>
          <w:bCs/>
          <w:color w:val="6866A7"/>
          <w:sz w:val="18"/>
          <w:szCs w:val="18"/>
        </w:rPr>
        <w:t xml:space="preserve">Ingénieur DevOps &amp; Plateforme — Fondateur</w:t>
      </w:r>
      <w:r>
        <w:rPr>
          <w:rFonts w:ascii="Calibri" w:hAnsi="Calibri" w:cs="Calibri"/>
          <w:color w:val="7C7889"/>
          <w:sz w:val="18"/>
          <w:szCs w:val="18"/>
        </w:rPr>
        <w:t xml:space="preserve"> · Paris · hybride · indépendant</w:t>
      </w:r>
    </w:p>
    <w:p>
      <w:pPr>
        <w:spacing w:before="0" w:after="50" w:line="252" w:lineRule="auto"/>
      </w:pPr>
      <w:r>
        <w:rPr>
          <w:rFonts w:ascii="Calibri" w:hAnsi="Calibri" w:cs="Calibri"/>
          <w:color w:val="5B5866"/>
          <w:sz w:val="17"/>
          <w:szCs w:val="17"/>
        </w:rPr>
        <w:t xml:space="preserve">Ma structure : je conçois et j'exploite des produits de bout en bout — architecture, spécification, mise en production, exploitation, support. Auto-entrepreneur en 2020, EURL en 2023.</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Du papier carbone au SaaS multi-tenant</w:t>
      </w:r>
      <w:r>
        <w:rPr>
          <w:rFonts w:ascii="Calibri" w:hAnsi="Calibri" w:cs="Calibri"/>
          <w:color w:val="484550"/>
          <w:sz w:val="18"/>
          <w:szCs w:val="18"/>
        </w:rPr>
        <w:t xml:space="preserve"> : Astre Solutions gérait ses bons de commande et de livraison sur papier carbone, en double exemplaire. Je leur ai livré un outil de génération documentaire macOS, synchronisé et sauvegardé hors site. Le même client m'a ensuite confié l'automatisation des CERFA fluides frigorigènes pour Co&amp;Sta, puis le CRM, le planning, les techniciens — c'est devenu </w:t>
      </w:r>
      <w:r>
        <w:rPr>
          <w:rFonts w:ascii="Calibri" w:hAnsi="Calibri" w:cs="Calibri"/>
          <w:b/>
          <w:bCs/>
          <w:color w:val="484550"/>
          <w:sz w:val="18"/>
          <w:szCs w:val="18"/>
        </w:rPr>
        <w:t xml:space="preserve">Norteo</w:t>
      </w:r>
      <w:r>
        <w:rPr>
          <w:rFonts w:ascii="Calibri" w:hAnsi="Calibri" w:cs="Calibri"/>
          <w:color w:val="484550"/>
          <w:sz w:val="18"/>
          <w:szCs w:val="18"/>
        </w:rPr>
        <w:t xml:space="preserve">, aujourd'hui proposé à d'autres frigoristes avec son accord.</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Norteo</w:t>
      </w:r>
      <w:r>
        <w:rPr>
          <w:rFonts w:ascii="Calibri" w:hAnsi="Calibri" w:cs="Calibri"/>
          <w:color w:val="484550"/>
          <w:sz w:val="18"/>
          <w:szCs w:val="18"/>
        </w:rPr>
        <w:t xml:space="preserve">, SaaS de gestion multi-métier que je conçois et exploite : 15 métiers, 70 modèles de données, architecture multi-instance en marque blanche, isolation multi-tenant par JWT, MFA TOTP. Abonnements Stripe, agrégation bancaire via Bridge API v3 (agrégateur agréé DSP2) avec rapprochement automatique des paiements. Documents réglementaires générés : CERFA 15497, export SYDEREP.</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Ce qui tient l'ensemble : </w:t>
      </w:r>
      <w:r>
        <w:rPr>
          <w:rFonts w:ascii="Calibri" w:hAnsi="Calibri" w:cs="Calibri"/>
          <w:b/>
          <w:bCs/>
          <w:color w:val="484550"/>
          <w:sz w:val="18"/>
          <w:szCs w:val="18"/>
        </w:rPr>
        <w:t xml:space="preserve">20 600 tests automatisés</w:t>
      </w:r>
      <w:r>
        <w:rPr>
          <w:rFonts w:ascii="Calibri" w:hAnsi="Calibri" w:cs="Calibri"/>
          <w:color w:val="484550"/>
          <w:sz w:val="18"/>
          <w:szCs w:val="18"/>
        </w:rPr>
        <w:t xml:space="preserve"> — 19 000 unitaires (Vitest), 1 300 de bout en bout (Playwright) — porte qualité SonarQube bloquante avant le build, analyse statique de sécurité, détection de secrets et de vulnérabilités en intégration continue. Ces produits portent des chemins où circule de l'argent : je ne conçois pas mon métier comme écrire du code, mais comme </w:t>
      </w:r>
      <w:r>
        <w:rPr>
          <w:rFonts w:ascii="Calibri" w:hAnsi="Calibri" w:cs="Calibri"/>
          <w:b/>
          <w:bCs/>
          <w:color w:val="484550"/>
          <w:sz w:val="18"/>
          <w:szCs w:val="18"/>
        </w:rPr>
        <w:t xml:space="preserve">spécifier ce qui doit être vrai et construire la preuve que ça l'est</w:t>
      </w:r>
      <w:r>
        <w:rPr>
          <w:rFonts w:ascii="Calibri" w:hAnsi="Calibri" w:cs="Calibri"/>
          <w:color w:val="484550"/>
          <w:sz w:val="18"/>
          <w:szCs w:val="18"/>
        </w:rPr>
        <w:t xml:space="preserve">.</w:t>
      </w:r>
    </w:p>
    <w:p>
      <w:pPr>
        <w:keepNext/>
        <w:keepLines/>
        <w:tabs>
          <w:tab w:val="right" w:pos="10826"/>
        </w:tabs>
        <w:spacing w:before="140" w:after="30" w:line="252" w:lineRule="auto"/>
      </w:pPr>
      <w:r>
        <w:rPr>
          <w:rFonts w:ascii="Calibri" w:hAnsi="Calibri" w:cs="Calibri"/>
          <w:b/>
          <w:bCs/>
          <w:color w:val="1c1b20"/>
          <w:sz w:val="22"/>
          <w:szCs w:val="22"/>
        </w:rPr>
        <w:t xml:space="preserve">BPCE IT</w:t>
      </w:r>
      <w:r>
        <w:rPr>
          <w:rFonts w:ascii="Calibri" w:hAnsi="Calibri" w:cs="Calibri"/>
          <w:sz w:val="19"/>
          <w:szCs w:val="19"/>
        </w:rPr>
        <w:tab/>
      </w:r>
      <w:r>
        <w:rPr>
          <w:rFonts w:ascii="Consolas" w:hAnsi="Consolas" w:cs="Consolas"/>
          <w:color w:val="A86F9F"/>
          <w:sz w:val="16"/>
          <w:szCs w:val="16"/>
        </w:rPr>
        <w:t xml:space="preserve">nov. 2024 → aujourd'hui</w:t>
      </w:r>
    </w:p>
    <w:p>
      <w:pPr>
        <w:keepNext/>
        <w:keepLines/>
        <w:spacing w:before="0" w:after="30" w:line="252" w:lineRule="auto"/>
      </w:pPr>
      <w:r>
        <w:rPr>
          <w:rFonts w:ascii="Calibri" w:hAnsi="Calibri" w:cs="Calibri"/>
          <w:b/>
          <w:bCs/>
          <w:color w:val="6866A7"/>
          <w:sz w:val="18"/>
          <w:szCs w:val="18"/>
        </w:rPr>
        <w:t xml:space="preserve">Ingénieur DevOps Build &amp; Intégration</w:t>
      </w:r>
      <w:r>
        <w:rPr>
          <w:rFonts w:ascii="Calibri" w:hAnsi="Calibri" w:cs="Calibri"/>
          <w:color w:val="7C7889"/>
          <w:sz w:val="18"/>
          <w:szCs w:val="18"/>
        </w:rPr>
        <w:t xml:space="preserve"> · Paris · hybride · freelance</w:t>
      </w:r>
    </w:p>
    <w:p>
      <w:pPr>
        <w:spacing w:before="0" w:after="50" w:line="252" w:lineRule="auto"/>
      </w:pPr>
      <w:r>
        <w:rPr>
          <w:rFonts w:ascii="Calibri" w:hAnsi="Calibri" w:cs="Calibri"/>
          <w:color w:val="5B5866"/>
          <w:sz w:val="17"/>
          <w:szCs w:val="17"/>
        </w:rPr>
        <w:t xml:space="preserve">Transformer un outil interne abandonné en service généralisé, sur un parc réparti sur quatre générations de RHEL.</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Les logs aux développeurs, sans leur donner la production</w:t>
      </w:r>
      <w:r>
        <w:rPr>
          <w:rFonts w:ascii="Calibri" w:hAnsi="Calibri" w:cs="Calibri"/>
          <w:color w:val="484550"/>
          <w:sz w:val="18"/>
          <w:szCs w:val="18"/>
        </w:rPr>
        <w:t xml:space="preserve"> : l'accès SSH est interdit en production aux équipes de développement — donc aucune consultation autonome d'un log applicatif, et des délais de résolution allongés à chaque incident. J'ai repris un outil périmé, non maintenu et non sécurisé pour en faire un service de consultation en libre-service : une instance par serveur, une URL dédiée, authentification LDAP/Kerberos, consultation et téléchargement par navigateur. La friction disparaît, la frontière de sécurité reste intacte. </w:t>
      </w:r>
      <w:r>
        <w:rPr>
          <w:rFonts w:ascii="Calibri" w:hAnsi="Calibri" w:cs="Calibri"/>
          <w:b/>
          <w:bCs/>
          <w:color w:val="484550"/>
          <w:sz w:val="18"/>
          <w:szCs w:val="18"/>
        </w:rPr>
        <w:t xml:space="preserve">Déployé sur ~1 200 serveurs</w:t>
      </w:r>
      <w:r>
        <w:rPr>
          <w:rFonts w:ascii="Calibri" w:hAnsi="Calibri" w:cs="Calibri"/>
          <w:color w:val="484550"/>
          <w:sz w:val="18"/>
          <w:szCs w:val="18"/>
        </w:rPr>
        <w:t xml:space="preserve">, adopté par l'ensemble des quinze DSI métier de la branche et utilisé par environ 200 personnes sur le périmètre de production applicative ; présenté en CODIR, à l'étude comme produit groupe.</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Ce qui rend le déploiement possible</w:t>
      </w:r>
      <w:r>
        <w:rPr>
          <w:rFonts w:ascii="Calibri" w:hAnsi="Calibri" w:cs="Calibri"/>
          <w:color w:val="484550"/>
          <w:sz w:val="18"/>
          <w:szCs w:val="18"/>
        </w:rPr>
        <w:t xml:space="preserve"> : stack Apache compilée de bout en bout — Apache, APR, OpenSSL, OpenLDAP, Expat — sans aucune dépendance système, exécutable sans privilège root, de RHEL 6 à RHEL 9.5. Elle s'installe sur un Red Hat nu, cohabite avec un Apache ou un JBoss existant et survit à une montée de version d'OS — </w:t>
      </w:r>
      <w:r>
        <w:rPr>
          <w:rFonts w:ascii="Calibri" w:hAnsi="Calibri" w:cs="Calibri"/>
          <w:b/>
          <w:bCs/>
          <w:color w:val="484550"/>
          <w:sz w:val="18"/>
          <w:szCs w:val="18"/>
        </w:rPr>
        <w:t xml:space="preserve">adoptée comme standard de production</w:t>
      </w:r>
      <w:r>
        <w:rPr>
          <w:rFonts w:ascii="Calibri" w:hAnsi="Calibri" w:cs="Calibri"/>
          <w:color w:val="484550"/>
          <w:sz w:val="18"/>
          <w:szCs w:val="18"/>
        </w:rPr>
        <w:t xml:space="preserve">. Chaîne de livraison Bitbucket → Jenkins → Artifactory → XL Deploy.</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Inventaire dérivé de la CMDB</w:t>
      </w:r>
      <w:r>
        <w:rPr>
          <w:rFonts w:ascii="Calibri" w:hAnsi="Calibri" w:cs="Calibri"/>
          <w:color w:val="484550"/>
          <w:sz w:val="18"/>
          <w:szCs w:val="18"/>
        </w:rPr>
        <w:t xml:space="preserve"> : l'inventaire Ansible Automation Platform était tenu à la main ; il est désormais construit dynamiquement depuis la CMDB, environnements normalisés — il découle de la source de vérité au lieu d'être déclaré deux fois. Même principe pour les keystores et truststores JKS.</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Run quotidien, astreintes 24/7, référent d'un pôle applicatif auprès des DSIM ; formation de l'équipe (Ansible, Jenkins, Artifactory, Bitbucket) et présentation groupe d'Ansible Automation Platform.</w:t>
      </w:r>
    </w:p>
    <w:p>
      <w:pPr>
        <w:keepNext/>
        <w:keepLines/>
        <w:tabs>
          <w:tab w:val="right" w:pos="10826"/>
        </w:tabs>
        <w:spacing w:before="140" w:after="30" w:line="252" w:lineRule="auto"/>
      </w:pPr>
      <w:r>
        <w:rPr>
          <w:rFonts w:ascii="Calibri" w:hAnsi="Calibri" w:cs="Calibri"/>
          <w:b/>
          <w:bCs/>
          <w:color w:val="1c1b20"/>
          <w:sz w:val="22"/>
          <w:szCs w:val="22"/>
        </w:rPr>
        <w:t xml:space="preserve">Amundi</w:t>
      </w:r>
      <w:r>
        <w:rPr>
          <w:rFonts w:ascii="Calibri" w:hAnsi="Calibri" w:cs="Calibri"/>
          <w:sz w:val="19"/>
          <w:szCs w:val="19"/>
        </w:rPr>
        <w:tab/>
      </w:r>
      <w:r>
        <w:rPr>
          <w:rFonts w:ascii="Consolas" w:hAnsi="Consolas" w:cs="Consolas"/>
          <w:color w:val="A86F9F"/>
          <w:sz w:val="16"/>
          <w:szCs w:val="16"/>
        </w:rPr>
        <w:t xml:space="preserve">janv. 2022 → oct. 2024</w:t>
      </w:r>
    </w:p>
    <w:p>
      <w:pPr>
        <w:keepNext/>
        <w:keepLines/>
        <w:spacing w:before="0" w:after="30" w:line="252" w:lineRule="auto"/>
      </w:pPr>
      <w:r>
        <w:rPr>
          <w:rFonts w:ascii="Calibri" w:hAnsi="Calibri" w:cs="Calibri"/>
          <w:b/>
          <w:bCs/>
          <w:color w:val="6866A7"/>
          <w:sz w:val="18"/>
          <w:szCs w:val="18"/>
        </w:rPr>
        <w:t xml:space="preserve">Ingénieur DevOps — référent applicatif, lead technique adjoint</w:t>
      </w:r>
      <w:r>
        <w:rPr>
          <w:rFonts w:ascii="Calibri" w:hAnsi="Calibri" w:cs="Calibri"/>
          <w:color w:val="7C7889"/>
          <w:sz w:val="18"/>
          <w:szCs w:val="18"/>
        </w:rPr>
        <w:t xml:space="preserve"> · Paris · hybride · freelance</w:t>
      </w:r>
    </w:p>
    <w:p>
      <w:pPr>
        <w:spacing w:before="0" w:after="50" w:line="252" w:lineRule="auto"/>
      </w:pPr>
      <w:r>
        <w:rPr>
          <w:rFonts w:ascii="Calibri" w:hAnsi="Calibri" w:cs="Calibri"/>
          <w:color w:val="5B5866"/>
          <w:sz w:val="17"/>
          <w:szCs w:val="17"/>
        </w:rPr>
        <w:t xml:space="preserve">Périmètre applicatif d'une direction financière : quatre à cinq progiciels, interlocuteurs métier côté demande, appui direct du team leader.</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Migration SAS de bout en bout</w:t>
      </w:r>
      <w:r>
        <w:rPr>
          <w:rFonts w:ascii="Calibri" w:hAnsi="Calibri" w:cs="Calibri"/>
          <w:color w:val="484550"/>
          <w:sz w:val="18"/>
          <w:szCs w:val="18"/>
        </w:rPr>
        <w:t xml:space="preserve"> : outil d'analyse stratégique en fin de support — sans montée de version, la direction financière le perdait. Six mois, du cadrage à la mise en production, avec un consultant de l'éditeur : étude des cibles possibles et dimensionnement avec les équipes infra, cadrage du périmètre métier avec les utilisateurs, provisionnement, installation, raccordements réseau, LDAP et Active Directory, documentation, passation.</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Bascule des clusters applicatifs et des bases automatisée lors des PSI : une procédure manuelle devenue </w:t>
      </w:r>
      <w:r>
        <w:rPr>
          <w:rFonts w:ascii="Calibri" w:hAnsi="Calibri" w:cs="Calibri"/>
          <w:b/>
          <w:bCs/>
          <w:color w:val="484550"/>
          <w:sz w:val="18"/>
          <w:szCs w:val="18"/>
        </w:rPr>
        <w:t xml:space="preserve">rejouable à l'identique</w:t>
      </w:r>
      <w:r>
        <w:rPr>
          <w:rFonts w:ascii="Calibri" w:hAnsi="Calibri" w:cs="Calibri"/>
          <w:color w:val="484550"/>
          <w:sz w:val="18"/>
          <w:szCs w:val="18"/>
        </w:rPr>
        <w:t xml:space="preserve">, sans saisie humaine. Déploiements Git → AWX → Ansible et Control-M « as code » (JSON/Jinja2 déployés par playbook). Météo applicative collectée et publiée par la chaîne, au lieu d'être relevée à la main chaque matin.</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Migration Oracle Financials &amp; OBIEE de Solaris vers SUSE ; applications portées par une plateforme Rancher Kubernetes pilotée par ArgoCD. Diagnostic des incidents sur l'ensemble du périmètre, en particulier ceux remontés sans élément technique exploitable ; réunions d'équipe animées en anglais ; formation des arrivants et documentation interne.</w:t>
      </w:r>
    </w:p>
    <w:p>
      <w:pPr>
        <w:spacing w:before="60" w:after="120" w:line="252" w:lineRule="auto"/>
      </w:pPr>
      <w:r>
        <w:rPr>
          <w:rFonts w:ascii="Calibri" w:hAnsi="Calibri" w:cs="Calibri"/>
          <w:color w:val="484550"/>
          <w:sz w:val="16"/>
          <w:szCs w:val="16"/>
        </w:rPr>
        <w:t xml:space="preserve">Avant : BPCE Lease (2020 → 2021) — migration vers Azure reprise et livrée seul après le départ du chef de projet · Amundi (2017 → 2020) — analyste d'exploitation · Euler Hermes (2015 → 2017) — technicien d'exploitation &amp; datacenter.</w:t>
      </w:r>
    </w:p>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COMPÉTENCES</w:t>
      </w:r>
    </w:p>
    <w:tbl>
      <w:tblPr>
        <w:tblW w:w="108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5263"/>
        <w:gridCol w:w="300"/>
        <w:gridCol w:w="5263"/>
      </w:tblGrid>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Automatisation &amp; CI/CD</w:t>
            </w:r>
          </w:p>
          <w:p>
            <w:pPr>
              <w:spacing w:before="0" w:after="50" w:line="252" w:lineRule="auto"/>
            </w:pPr>
            <w:r>
              <w:rPr>
                <w:rFonts w:ascii="Consolas" w:hAnsi="Consolas" w:cs="Consolas"/>
                <w:color w:val="484550"/>
                <w:sz w:val="15"/>
                <w:szCs w:val="15"/>
              </w:rPr>
              <w:t xml:space="preserve">Ansible · Ansible Automation Platform 2 · AWX · Jenkins · GitLab CI · Bitbucket · Artifactory · XL Deploy / XL Release · ArgoCD · Helm · Kustomize</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Conteneurs &amp; orchestration</w:t>
            </w:r>
          </w:p>
          <w:p>
            <w:pPr>
              <w:spacing w:before="0" w:after="50" w:line="252" w:lineRule="auto"/>
            </w:pPr>
            <w:r>
              <w:rPr>
                <w:rFonts w:ascii="Consolas" w:hAnsi="Consolas" w:cs="Consolas"/>
                <w:color w:val="484550"/>
                <w:sz w:val="15"/>
                <w:szCs w:val="15"/>
              </w:rPr>
              <w:t xml:space="preserve">Docker · Kubernetes · K3s · Longhorn · MetalLB · ingress-nginx · cert-manager · Sealed Secrets</w:t>
            </w:r>
          </w:p>
        </w:tc>
      </w:tr>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Cloud &amp; IaC</w:t>
            </w:r>
          </w:p>
          <w:p>
            <w:pPr>
              <w:spacing w:before="0" w:after="50" w:line="252" w:lineRule="auto"/>
            </w:pPr>
            <w:r>
              <w:rPr>
                <w:rFonts w:ascii="Consolas" w:hAnsi="Consolas" w:cs="Consolas"/>
                <w:color w:val="484550"/>
                <w:sz w:val="15"/>
                <w:szCs w:val="15"/>
              </w:rPr>
              <w:t xml:space="preserve">Azure et Terraform (migration BPCE Lease 2021) · XCP-ng · vSphere · Docker Compose</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Systèmes</w:t>
            </w:r>
          </w:p>
          <w:p>
            <w:pPr>
              <w:spacing w:before="0" w:after="50" w:line="252" w:lineRule="auto"/>
            </w:pPr>
            <w:r>
              <w:rPr>
                <w:rFonts w:ascii="Consolas" w:hAnsi="Consolas" w:cs="Consolas"/>
                <w:color w:val="484550"/>
                <w:sz w:val="15"/>
                <w:szCs w:val="15"/>
              </w:rPr>
              <w:t xml:space="preserve">Red Hat (RHEL 6 → 9.5) · SUSE · Debian/Arch · AIX · Solaris · Windows Server · Apache HTTPD · JBoss · Nginx</w:t>
            </w:r>
          </w:p>
        </w:tc>
      </w:tr>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Vérification</w:t>
            </w:r>
          </w:p>
          <w:p>
            <w:pPr>
              <w:spacing w:before="0" w:after="50" w:line="252" w:lineRule="auto"/>
            </w:pPr>
            <w:r>
              <w:rPr>
                <w:rFonts w:ascii="Consolas" w:hAnsi="Consolas" w:cs="Consolas"/>
                <w:color w:val="484550"/>
                <w:sz w:val="15"/>
                <w:szCs w:val="15"/>
              </w:rPr>
              <w:t xml:space="preserve">Tests unitaires · tests de bout en bout · Vitest · Playwright · SonarQube · analyse statique de sécurité · détection de secrets · scan de vulnérabilités</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IA &amp; agents</w:t>
            </w:r>
          </w:p>
          <w:p>
            <w:pPr>
              <w:spacing w:before="0" w:after="50" w:line="252" w:lineRule="auto"/>
            </w:pPr>
            <w:r>
              <w:rPr>
                <w:rFonts w:ascii="Consolas" w:hAnsi="Consolas" w:cs="Consolas"/>
                <w:color w:val="484550"/>
                <w:sz w:val="15"/>
                <w:szCs w:val="15"/>
              </w:rPr>
              <w:t xml:space="preserve">LLMOps · Model Context Protocol (MCP) · agents IA · sécurité des LLM · suivi de coût par modèle · Anthropic Claude</w:t>
            </w:r>
          </w:p>
        </w:tc>
      </w:tr>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Observabilité</w:t>
            </w:r>
          </w:p>
          <w:p>
            <w:pPr>
              <w:spacing w:before="0" w:after="50" w:line="252" w:lineRule="auto"/>
            </w:pPr>
            <w:r>
              <w:rPr>
                <w:rFonts w:ascii="Consolas" w:hAnsi="Consolas" w:cs="Consolas"/>
                <w:color w:val="484550"/>
                <w:sz w:val="15"/>
                <w:szCs w:val="15"/>
              </w:rPr>
              <w:t xml:space="preserve">Prometheus · Grafana · Loki · OpenTelemetry · VictoriaMetrics · Centreon · Zabbix · AppDynamics · Splunk</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Sécurité</w:t>
            </w:r>
          </w:p>
          <w:p>
            <w:pPr>
              <w:spacing w:before="0" w:after="50" w:line="252" w:lineRule="auto"/>
            </w:pPr>
            <w:r>
              <w:rPr>
                <w:rFonts w:ascii="Consolas" w:hAnsi="Consolas" w:cs="Consolas"/>
                <w:color w:val="484550"/>
                <w:sz w:val="15"/>
                <w:szCs w:val="15"/>
              </w:rPr>
              <w:t xml:space="preserve">SSL/TLS · OpenSSL · keystores JKS · Venafi · LDAP · Infisical · Authentik · durcissement Linux</w:t>
            </w:r>
          </w:p>
        </w:tc>
      </w:tr>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Langages</w:t>
            </w:r>
          </w:p>
          <w:p>
            <w:pPr>
              <w:spacing w:before="0" w:after="50" w:line="252" w:lineRule="auto"/>
            </w:pPr>
            <w:r>
              <w:rPr>
                <w:rFonts w:ascii="Consolas" w:hAnsi="Consolas" w:cs="Consolas"/>
                <w:color w:val="484550"/>
                <w:sz w:val="15"/>
                <w:szCs w:val="15"/>
              </w:rPr>
              <w:t xml:space="preserve">Bash · Python · jq · YAML · Jinja2 · JSON · Rust (notions)</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spacing w:before="0" w:after="60" w:line="252" w:lineRule="auto"/>
            </w:pPr>
          </w:p>
        </w:tc>
      </w:tr>
    </w:tbl>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PROJETS</w:t>
      </w:r>
    </w:p>
    <w:tbl>
      <w:tblPr>
        <w:tblW w:w="10826" w:type="dxa"/>
        <w:tblLayout w:type="fixed"/>
        <w:tblCellMar>
          <w:left w:w="0" w:type="dxa"/>
          <w:right w:w="0" w:type="dxa"/>
        </w:tblCellMar>
      </w:tblPr>
      <w:tblGrid>
        <w:gridCol w:w="5293"/>
        <w:gridCol w:w="240"/>
        <w:gridCol w:w="5293"/>
      </w:tblGrid>
      <w:tr>
        <w:tc>
          <w:tcPr>
            <w:tcW w:w="5293" w:type="dxa"/>
            <w:tcBorders>
              <w:top w:val="single" w:sz="4" w:space="0" w:color="cac4d2"/>
              <w:left w:val="single" w:sz="24" w:space="0" w:color="6866A7"/>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Homelab K3s 100 % GitOps</w:t>
            </w:r>
          </w:p>
          <w:p>
            <w:pPr>
              <w:spacing w:before="0" w:after="20" w:line="252" w:lineRule="auto"/>
            </w:pPr>
            <w:r>
              <w:rPr>
                <w:rFonts w:ascii="Consolas" w:hAnsi="Consolas" w:cs="Consolas"/>
                <w:color w:val="7a68b4"/>
                <w:sz w:val="15"/>
                <w:szCs w:val="15"/>
              </w:rPr>
              <w:t xml:space="preserve">homelab.scasse.com</w:t>
            </w:r>
          </w:p>
          <w:p>
            <w:pPr>
              <w:spacing w:before="0" w:after="0" w:line="252" w:lineRule="auto"/>
            </w:pPr>
            <w:r>
              <w:rPr>
                <w:rFonts w:ascii="Calibri" w:hAnsi="Calibri" w:cs="Calibri"/>
                <w:color w:val="484550"/>
                <w:sz w:val="16"/>
                <w:szCs w:val="16"/>
              </w:rPr>
              <w:t xml:space="preserve">3 Raspberry Pi 4, K3s, MetalLB, Longhorn, cert-manager, Sealed Secrets, Argo CD App-of-Apps (9 apps), 3 playbooks Ansible, doc Hugo déployée par GitLab CI. État 2025 : l'infrastructure a depuis migré vers un socle XCP-ng.</w:t>
            </w:r>
          </w:p>
        </w:tc>
        <w:tc>
          <w:tcPr>
            <w:tcW w:w="240" w:type="dxa"/>
            <w:tcMar>
              <w:top w:w="80" w:type="dxa"/>
              <w:left w:w="120" w:type="dxa"/>
              <w:bottom w:w="80" w:type="dxa"/>
              <w:right w:w="120" w:type="dxa"/>
            </w:tcMar>
          </w:tcPr>
          <w:p>
            <w:pPr>
              <w:spacing w:before="0" w:after="60" w:line="252" w:lineRule="auto"/>
            </w:pPr>
          </w:p>
        </w:tc>
        <w:tc>
          <w:tcPr>
            <w:tcW w:w="5293" w:type="dxa"/>
            <w:tcBorders>
              <w:top w:val="single" w:sz="4" w:space="0" w:color="cac4d2"/>
              <w:left w:val="single" w:sz="24" w:space="0" w:color="A86F9F"/>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Skynet — cockpit IA local-first</w:t>
            </w:r>
          </w:p>
          <w:p>
            <w:pPr>
              <w:spacing w:before="0" w:after="20" w:line="252" w:lineRule="auto"/>
            </w:pPr>
            <w:r>
              <w:rPr>
                <w:rFonts w:ascii="Consolas" w:hAnsi="Consolas" w:cs="Consolas"/>
                <w:color w:val="7a68b4"/>
                <w:sz w:val="15"/>
                <w:szCs w:val="15"/>
              </w:rPr>
              <w:t xml:space="preserve">Claude · MCP</w:t>
            </w:r>
          </w:p>
          <w:p>
            <w:pPr>
              <w:spacing w:before="0" w:after="0" w:line="252" w:lineRule="auto"/>
            </w:pPr>
            <w:r>
              <w:rPr>
                <w:rFonts w:ascii="Calibri" w:hAnsi="Calibri" w:cs="Calibri"/>
                <w:color w:val="484550"/>
                <w:sz w:val="16"/>
                <w:szCs w:val="16"/>
              </w:rPr>
              <w:t xml:space="preserve">Assistant personnel piloté par Claude, tenu comme une application de production : CI à tolérance zéro, déploiement conditionné au vert, observabilité OpenTelemetry, suivi du coût par modèle, audits de sécurité rejoués à chaque évolution, exercice de reprise trimestriel.</w:t>
            </w:r>
          </w:p>
        </w:tc>
      </w:tr>
      <w:tr>
        <w:tc>
          <w:tcPr>
            <w:tcW w:w="5293" w:type="dxa"/>
            <w:tcMar>
              <w:top w:w="0" w:type="dxa"/>
              <w:left w:w="0" w:type="dxa"/>
              <w:bottom w:w="0" w:type="dxa"/>
              <w:right w:w="0" w:type="dxa"/>
            </w:tcMar>
          </w:tcPr>
          <w:p>
            <w:pPr>
              <w:spacing w:before="0" w:after="0" w:line="90" w:lineRule="exact"/>
            </w:pPr>
          </w:p>
        </w:tc>
        <w:tc>
          <w:tcPr>
            <w:tcW w:w="240" w:type="dxa"/>
            <w:tcMar>
              <w:top w:w="80" w:type="dxa"/>
              <w:left w:w="120" w:type="dxa"/>
              <w:bottom w:w="80" w:type="dxa"/>
              <w:right w:w="120" w:type="dxa"/>
            </w:tcMar>
          </w:tcPr>
          <w:p>
            <w:pPr>
              <w:spacing w:before="0" w:after="0" w:line="90" w:lineRule="exact"/>
            </w:pPr>
          </w:p>
        </w:tc>
        <w:tc>
          <w:tcPr>
            <w:tcW w:w="5293" w:type="dxa"/>
            <w:tcMar>
              <w:top w:w="0" w:type="dxa"/>
              <w:left w:w="0" w:type="dxa"/>
              <w:bottom w:w="0" w:type="dxa"/>
              <w:right w:w="0" w:type="dxa"/>
            </w:tcMar>
          </w:tcPr>
          <w:p>
            <w:pPr>
              <w:spacing w:before="0" w:after="0" w:line="90" w:lineRule="exact"/>
            </w:pPr>
          </w:p>
        </w:tc>
      </w:tr>
      <w:tr>
        <w:tc>
          <w:tcPr>
            <w:tcW w:w="5293" w:type="dxa"/>
            <w:tcBorders>
              <w:top w:val="single" w:sz="4" w:space="0" w:color="cac4d2"/>
              <w:left w:val="single" w:sz="24" w:space="0" w:color="6866A7"/>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nalarch — open source</w:t>
            </w:r>
          </w:p>
          <w:p>
            <w:pPr>
              <w:spacing w:before="0" w:after="20" w:line="252" w:lineRule="auto"/>
            </w:pPr>
            <w:r>
              <w:rPr>
                <w:rFonts w:ascii="Consolas" w:hAnsi="Consolas" w:cs="Consolas"/>
                <w:color w:val="7a68b4"/>
                <w:sz w:val="15"/>
                <w:szCs w:val="15"/>
              </w:rPr>
              <w:t xml:space="preserve">Rust · MIT</w:t>
            </w:r>
          </w:p>
          <w:p>
            <w:pPr>
              <w:spacing w:before="0" w:after="0" w:line="252" w:lineRule="auto"/>
            </w:pPr>
            <w:r>
              <w:rPr>
                <w:rFonts w:ascii="Calibri" w:hAnsi="Calibri" w:cs="Calibri"/>
                <w:color w:val="484550"/>
                <w:sz w:val="16"/>
                <w:szCs w:val="16"/>
              </w:rPr>
              <w:t xml:space="preserve">Gestionnaire de paquets TUI pour Arch Linux ; rien ne s'exécute sans écran d'approbation.</w:t>
            </w:r>
          </w:p>
        </w:tc>
        <w:tc>
          <w:tcPr>
            <w:tcW w:w="240" w:type="dxa"/>
            <w:tcMar>
              <w:top w:w="80" w:type="dxa"/>
              <w:left w:w="120" w:type="dxa"/>
              <w:bottom w:w="80" w:type="dxa"/>
              <w:right w:w="120" w:type="dxa"/>
            </w:tcMar>
          </w:tcPr>
          <w:p>
            <w:pPr>
              <w:spacing w:before="0" w:after="60" w:line="252" w:lineRule="auto"/>
            </w:pPr>
          </w:p>
        </w:tc>
        <w:tc>
          <w:tcPr>
            <w:tcW w:w="5293" w:type="dxa"/>
            <w:tcMar>
              <w:top w:w="80" w:type="dxa"/>
              <w:left w:w="120" w:type="dxa"/>
              <w:bottom w:w="80" w:type="dxa"/>
              <w:right w:w="120" w:type="dxa"/>
            </w:tcMar>
          </w:tcPr>
          <w:p>
            <w:pPr>
              <w:spacing w:before="0" w:after="60" w:line="252" w:lineRule="auto"/>
            </w:pPr>
          </w:p>
        </w:tc>
      </w:tr>
    </w:tbl>
    <w:p>
      <w:pPr>
        <w:spacing w:before="0" w:after="0" w:line="80" w:lineRule="exact"/>
      </w:pPr>
    </w:p>
    <w:tbl>
      <w:tblPr>
        <w:tblW w:w="108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5263"/>
        <w:gridCol w:w="300"/>
        <w:gridCol w:w="5263"/>
      </w:tblGrid>
      <w:tr>
        <w:tc>
          <w:tcPr>
            <w:tcW w:w="5263" w:type="dxa"/>
            <w:tcMar>
              <w:top w:w="80" w:type="dxa"/>
              <w:left w:w="120" w:type="dxa"/>
              <w:bottom w:w="80" w:type="dxa"/>
              <w:right w:w="120" w:type="dxa"/>
            </w:tcMar>
          </w:tcPr>
          <w:p>
            <w:pPr>
              <w:keepNext/>
              <w:keepLines/>
              <w:spacing w:before="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FORMATION</w:t>
            </w:r>
          </w:p>
          <w:p>
            <w:pPr>
              <w:spacing w:before="0" w:after="40" w:line="252" w:lineRule="auto"/>
              <w:ind w:left="340" w:hanging="340"/>
            </w:pPr>
            <w:r>
              <w:rPr>
                <w:rFonts w:ascii="Consolas" w:hAnsi="Consolas" w:cs="Consolas"/>
                <w:b/>
                <w:bCs/>
                <w:color w:val="A86F9F"/>
                <w:sz w:val="16"/>
                <w:szCs w:val="16"/>
              </w:rPr>
              <w:t xml:space="preserve">2018  </w:t>
            </w:r>
            <w:r>
              <w:rPr>
                <w:rFonts w:ascii="Calibri" w:hAnsi="Calibri" w:cs="Calibri"/>
                <w:color w:val="484550"/>
                <w:sz w:val="16"/>
                <w:szCs w:val="16"/>
              </w:rPr>
              <w:t xml:space="preserve">Certification ITIL (niv. 1)</w:t>
            </w:r>
          </w:p>
          <w:p>
            <w:pPr>
              <w:spacing w:before="0" w:after="40" w:line="252" w:lineRule="auto"/>
              <w:ind w:left="340" w:hanging="340"/>
            </w:pPr>
            <w:r>
              <w:rPr>
                <w:rFonts w:ascii="Consolas" w:hAnsi="Consolas" w:cs="Consolas"/>
                <w:b/>
                <w:bCs/>
                <w:color w:val="A86F9F"/>
                <w:sz w:val="16"/>
                <w:szCs w:val="16"/>
              </w:rPr>
              <w:t xml:space="preserve">2017  </w:t>
            </w:r>
            <w:r>
              <w:rPr>
                <w:rFonts w:ascii="Calibri" w:hAnsi="Calibri" w:cs="Calibri"/>
                <w:color w:val="484550"/>
                <w:sz w:val="16"/>
                <w:szCs w:val="16"/>
              </w:rPr>
              <w:t xml:space="preserve">Piscine École 42 Paris — programmation C, notation par les pairs, aucun enseignant</w:t>
            </w:r>
          </w:p>
          <w:p>
            <w:pPr>
              <w:spacing w:before="0" w:after="40" w:line="252" w:lineRule="auto"/>
              <w:ind w:left="340" w:hanging="340"/>
            </w:pPr>
            <w:r>
              <w:rPr>
                <w:rFonts w:ascii="Consolas" w:hAnsi="Consolas" w:cs="Consolas"/>
                <w:b/>
                <w:bCs/>
                <w:color w:val="A86F9F"/>
                <w:sz w:val="16"/>
                <w:szCs w:val="16"/>
              </w:rPr>
              <w:t xml:space="preserve">2016  </w:t>
            </w:r>
            <w:r>
              <w:rPr>
                <w:rFonts w:ascii="Calibri" w:hAnsi="Calibri" w:cs="Calibri"/>
                <w:color w:val="484550"/>
                <w:sz w:val="16"/>
                <w:szCs w:val="16"/>
              </w:rPr>
              <w:t xml:space="preserve">Certification administration AIX (niv. 1)</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LANGUES</w:t>
            </w:r>
          </w:p>
          <w:p>
            <w:pPr>
              <w:spacing w:before="0" w:after="50" w:line="252" w:lineRule="auto"/>
            </w:pPr>
            <w:r>
              <w:rPr>
                <w:rFonts w:ascii="Calibri" w:hAnsi="Calibri" w:cs="Calibri"/>
                <w:b/>
                <w:bCs/>
                <w:color w:val="1c1b20"/>
                <w:sz w:val="16"/>
                <w:szCs w:val="16"/>
              </w:rPr>
              <w:t xml:space="preserve">Français</w:t>
            </w:r>
            <w:r>
              <w:rPr>
                <w:rFonts w:ascii="Calibri" w:hAnsi="Calibri" w:cs="Calibri"/>
                <w:color w:val="484550"/>
                <w:sz w:val="16"/>
                <w:szCs w:val="16"/>
              </w:rPr>
              <w:t xml:space="preserve"> — natif</w:t>
            </w:r>
          </w:p>
          <w:p>
            <w:pPr>
              <w:spacing w:before="0" w:after="50" w:line="252" w:lineRule="auto"/>
            </w:pPr>
            <w:r>
              <w:rPr>
                <w:rFonts w:ascii="Calibri" w:hAnsi="Calibri" w:cs="Calibri"/>
                <w:b/>
                <w:bCs/>
                <w:color w:val="1c1b20"/>
                <w:sz w:val="16"/>
                <w:szCs w:val="16"/>
              </w:rPr>
              <w:t xml:space="preserve">Anglais</w:t>
            </w:r>
            <w:r>
              <w:rPr>
                <w:rFonts w:ascii="Calibri" w:hAnsi="Calibri" w:cs="Calibri"/>
                <w:color w:val="484550"/>
                <w:sz w:val="16"/>
                <w:szCs w:val="16"/>
              </w:rPr>
              <w:t xml:space="preserve"> — opérationnel — réunions d'équipe animées en anglais</w:t>
            </w:r>
          </w:p>
        </w:tc>
      </w:tr>
    </w:tbl>
    <w:sectPr>
      <w:pgSz w:w="11906" w:h="16838"/>
      <w:pgMar w:top="540" w:right="540" w:bottom="540" w:left="540" w:header="0" w:footer="0" w:gutter="0"/>
    </w:sectPr>
  </w:body>
</w:document>
</file>

<file path=word/styles.xml><?xml version="1.0" encoding="utf-8"?>
<w:styles xmlns:w="http://schemas.openxmlformats.org/wordprocessingml/2006/main">
  <w:docDefaults>
    <w:rPrDefault>
      <w:rPr>
        <w:rFonts w:ascii="Calibri" w:hAnsi="Calibri"/>
        <w:color w:val="1c1b20"/>
        <w:sz w:val="19"/>
        <w:szCs w:val="19"/>
      </w:rPr>
    </w:rPrDefault>
    <w:pPrDefault>
      <w:pPr>
        <w:spacing w:after="60" w:line="252"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3" Type="http://schemas.openxmlformats.org/officeDocument/2006/relationships/styles" Target="styles.xml"/><Relationship Id="rId4" Type="http://schemas.openxmlformats.org/officeDocument/2006/relationships/image" Target="media/logo.png"/></Relationships>
</file>