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42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2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896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10826"/>
      </w:tblGrid>
      <w:tr>
        ['
        <w:tc>
          <w:tcPr>
            <w:tcW w:w="1082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764" w:type="dxa"/>
        <w:tblLayout w:type="fixed"/>
        <w:tblCellMar>
          <w:left w:w="0" w:type="dxa"/>
          <w:right w:w="0" w:type="dxa"/>
        </w:tblCellMar>
      </w:tblPr>
      <w:tblGrid>
        <w:gridCol w:w="2646"/>
        <w:gridCol w:w="60"/>
        <w:gridCol w:w="2646"/>
        <w:gridCol w:w="60"/>
        <w:gridCol w:w="2646"/>
        <w:gridCol w:w="60"/>
        <w:gridCol w:w="2646"/>
      </w:tblGrid>
      <w:tr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Turn an abandoned internal tool into a group-wide service, across an estate spanning four RHEL generations.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 and used by around 200 people across business IT and operations; presented to the executive committee, under review as a group product.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Inventory derived from the CMDB</w:t>
      </w:r>
      <w:r>
        <w:rPr>
          <w:rFonts w:ascii="Calibri" w:hAnsi="Calibri" w:cs="Calibri"/>
          <w:color w:val="484550"/>
          <w:sz w:val="18"/>
          <w:szCs w:val="18"/>
        </w:rPr>
        <w:t xml:space="preserve">: the Ansible Automation Platform inventory was maintained by hand; it is now built dynamically from the CMDB with normalised environments — derived from the source of truth instead of being declared twice. Same principle for Java keystores and truststores.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(Ansible, Jenkins, Artifactory, Bitbucket) and group-wide Ansible Automation Platform presentation.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5293"/>
        <w:gridCol w:w="240"/>
        <w:gridCol w:w="5293"/>
      </w:tblGrid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40" w:right="540" w:bottom="540" w:left="5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