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</w:tblPr>
      <w:tblGrid>
        <w:gridCol w:w="1400"/>
        <w:gridCol w:w="9506"/>
      </w:tblGrid>
      <w:tr>
        <w:tc>
          <w:tcPr>
            <w:tcW w:w="1400" w:type="dxa"/>
            <w:shd w:val="clear" w:color="auto" w:fill="F3EAF6"/>
            <w:tcMar>
              <w:top w:w="240" w:type="dxa"/>
              <w:left w:w="260" w:type="dxa"/>
              <w:bottom w:w="240" w:type="dxa"/>
              <w:right w:w="0" w:type="dxa"/>
            </w:tcMar>
          </w:tcPr>
          <w:p>
            <w:pPr>
              <w:spacing w:before="0" w:after="0" w:line="252" w:lineRule="auto"/>
            </w:pPr>
            <w:r>
              <w:drawing>
                <wp:inline distT="0" distB="0" distL="0" distR="0">
                  <wp:extent cx="590550" cy="609600"/>
                  <wp:docPr id="1" name="Logo CS Consulting"/>
                  <a:graphic>
                    <a:graphicData uri="http://schemas.openxmlformats.org/drawingml/2006/picture">
                      <pic:pic>
                        <pic:nvPicPr>
                          <pic:cNvPr id="1" name="logo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6" w:type="dxa"/>
            <w:shd w:val="clear" w:color="auto" w:fill="F3EAF6"/>
            <w:tcMar>
              <w:top w:w="240" w:type="dxa"/>
              <w:left w:w="220" w:type="dxa"/>
              <w:bottom w:w="240" w:type="dxa"/>
              <w:right w:w="240" w:type="dxa"/>
            </w:tcMar>
          </w:tcPr>
          <w:p>
            <w:pPr>
              <w:tabs>
                <w:tab w:val="right" w:pos="9046"/>
              </w:tabs>
              <w:spacing w:before="0" w:after="40" w:line="252" w:lineRule="auto"/>
            </w:pPr>
            <w:r>
              <w:rPr>
                <w:rFonts w:ascii="Consolas" w:hAnsi="Consolas" w:cs="Consolas"/>
                <w:color w:val="6866A7"/>
                <w:sz w:val="17"/>
                <w:szCs w:val="17"/>
              </w:rPr>
              <w:t xml:space="preserve">~/cs-consulting $ whoami</w:t>
            </w:r>
            <w:r>
              <w:rPr>
                <w:rFonts w:ascii="Calibri" w:hAnsi="Calibri" w:cs="Calibri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5B5866"/>
                <w:sz w:val="17"/>
                <w:szCs w:val="17"/>
              </w:rPr>
              <w:t xml:space="preserve">Paris area, France · Remote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44"/>
                <w:szCs w:val="44"/>
              </w:rPr>
              <w:t xml:space="preserve">Stephen Casse</w:t>
            </w:r>
            <w:r>
              <w:rPr>
                <w:rFonts w:ascii="Calibri" w:hAnsi="Calibri" w:cs="Calibri"/>
                <w:color w:val="5B5866"/>
                <w:sz w:val="44"/>
                <w:szCs w:val="44"/>
              </w:rPr>
              <w:t xml:space="preserve"> · ksh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bCs/>
                <w:color w:val="6866A7"/>
                <w:sz w:val="19"/>
                <w:szCs w:val="19"/>
              </w:rPr>
              <w:t xml:space="preserve">Freelance DevOps / SRE Engineer</w:t>
            </w:r>
            <w:r>
              <w:rPr>
                <w:rFonts w:ascii="Calibri" w:hAnsi="Calibri" w:cs="Calibri"/>
                <w:color w:val="5B5866"/>
                <w:sz w:val="19"/>
                <w:szCs w:val="19"/>
              </w:rPr>
              <w:t xml:space="preserve"> — Verification · Automation</w:t>
            </w:r>
          </w:p>
        </w:tc>
      </w:tr>
    </w:tbl>
    <w:tbl>
      <w:tblPr>
        <w:tblW w:w="10906" w:type="dxa"/>
        <w:tblLayout w:type="fixed"/>
        <w:tblCellMar>
          <w:left w:w="0" w:type="dxa"/>
          <w:right w:w="0" w:type="dxa"/>
        </w:tblCellMar>
      </w:tblPr>
      <w:tblGrid>
        <w:gridCol w:w="10906"/>
      </w:tblGrid>
      <w:tr>
        ['
        <w:tc>
          <w:tcPr>
            <w:tcW w:w="10906" w:type="dxa"/>
            <w:tcBorders>
              <w:top w:val="single" w:sz="4" w:space="0" w:color="f7f2f9"/>
              <w:left w:val="single" w:sz="4" w:space="0" w:color="f7f2f9"/>
              <w:bottom w:val="single" w:sz="4" w:space="0" w:color="cac4d2"/>
              <w:right w:val="single" w:sz="4" w:space="0" w:color="f7f2f9"/>
            </w:tcBorders>
            <w:shd w:val="clear" w:color="auto" w:fill="f7f2f9"/>
            <w:tcMar>
              <w:top w:w="110" w:type="dxa"/>
              <w:left w:w="220" w:type="dxa"/>
              <w:bottom w:w="110" w:type="dxa"/>
              <w:right w:w="2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84550"/>
                <w:sz w:val="17"/>
                <w:szCs w:val="17"/>
              </w:rPr>
              <w:t xml:space="preserve">contact@scasse.com · 06 58 44 35 79 · linkedin.com/in/stephen-casse · github.com/ksh2177 · ksh2177.github.io</w:t>
            </w:r>
          </w:p>
        </w:tc>
        ']
      </w:tr>
    </w:tbl>
    <w:p>
      <w:pPr>
        <w:spacing w:before="0" w:after="0" w:line="200" w:lineRule="exact"/>
      </w:pPr>
    </w:p>
    <w:p>
      <w:pPr>
        <w:spacing w:before="0" w:after="180" w:line="276" w:lineRule="auto"/>
      </w:pPr>
      <w:r>
        <w:rPr>
          <w:rFonts w:ascii="Calibri" w:hAnsi="Calibri" w:cs="Calibri"/>
          <w:color w:val="1c1b20"/>
          <w:sz w:val="21"/>
          <w:szCs w:val="21"/>
        </w:rPr>
        <w:t xml:space="preserve">Eleven years in critical banking production (Amundi, BPCE, Euler Hermes), plus the products I build and run myself — Stripe payments, PSD2 bank aggregation. I apply production engineering to AI systems: not the prompts, everything around them — executable proof, measured cost, audited security, a tested exit plan.</w:t>
      </w:r>
    </w:p>
    <w:tbl>
      <w:tblPr>
        <w:tblW w:w="10844" w:type="dxa"/>
        <w:tblLayout w:type="fixed"/>
        <w:tblCellMar>
          <w:left w:w="0" w:type="dxa"/>
          <w:right w:w="0" w:type="dxa"/>
        </w:tblCellMar>
      </w:tblPr>
      <w:tblGrid>
        <w:gridCol w:w="2666"/>
        <w:gridCol w:w="60"/>
        <w:gridCol w:w="2666"/>
        <w:gridCol w:w="60"/>
        <w:gridCol w:w="2666"/>
        <w:gridCol w:w="60"/>
        <w:gridCol w:w="2666"/>
      </w:tblGrid>
      <w:tr>
        <w:tc>
          <w:tcPr>
            <w:tcW w:w="2666" w:type="dxa"/>
            <w:tcBorders>
              <w:top w:val="single" w:sz="24" w:space="0" w:color="6866A7"/>
              <w:left w:val="single" w:sz="4" w:space="0" w:color="cac4d2"/>
              <w:bottom w:val="single" w:sz="4" w:space="0" w:color="cac4d2"/>
              <w:right w:val="single" w:sz="4" w:space="0" w:color="cac4d2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b/>
                <w:bCs/>
                <w:color w:val="1c1b20"/>
                <w:sz w:val="26"/>
                <w:szCs w:val="26"/>
              </w:rPr>
              <w:t xml:space="preserve">11 years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5B5866"/>
                <w:sz w:val="15"/>
                <w:szCs w:val="15"/>
              </w:rPr>
              <w:t xml:space="preserve">critical banking production</w:t>
            </w:r>
          </w:p>
        </w:tc>
        <w:tc>
          <w:tcPr>
            <w:tcW w:w="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2666" w:type="dxa"/>
            <w:tcBorders>
              <w:top w:val="single" w:sz="24" w:space="0" w:color="A86F9F"/>
              <w:left w:val="single" w:sz="4" w:space="0" w:color="cac4d2"/>
              <w:bottom w:val="single" w:sz="4" w:space="0" w:color="cac4d2"/>
              <w:right w:val="single" w:sz="4" w:space="0" w:color="cac4d2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b/>
                <w:bCs/>
                <w:color w:val="1c1b20"/>
                <w:sz w:val="26"/>
                <w:szCs w:val="26"/>
              </w:rPr>
              <w:t xml:space="preserve">20,600 tests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5B5866"/>
                <w:sz w:val="15"/>
                <w:szCs w:val="15"/>
              </w:rPr>
              <w:t xml:space="preserve">on a SaaS I run myself: payments, bank aggregation</w:t>
            </w:r>
          </w:p>
        </w:tc>
        <w:tc>
          <w:tcPr>
            <w:tcW w:w="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2666" w:type="dxa"/>
            <w:tcBorders>
              <w:top w:val="single" w:sz="24" w:space="0" w:color="6866A7"/>
              <w:left w:val="single" w:sz="4" w:space="0" w:color="cac4d2"/>
              <w:bottom w:val="single" w:sz="4" w:space="0" w:color="cac4d2"/>
              <w:right w:val="single" w:sz="4" w:space="0" w:color="cac4d2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b/>
                <w:bCs/>
                <w:color w:val="1c1b20"/>
                <w:sz w:val="26"/>
                <w:szCs w:val="26"/>
              </w:rPr>
              <w:t xml:space="preserve">~1,200 servers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5B5866"/>
                <w:sz w:val="15"/>
                <w:szCs w:val="15"/>
              </w:rPr>
              <w:t xml:space="preserve">self-service log consultation, large account</w:t>
            </w:r>
          </w:p>
        </w:tc>
        <w:tc>
          <w:tcPr>
            <w:tcW w:w="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2666" w:type="dxa"/>
            <w:tcBorders>
              <w:top w:val="single" w:sz="24" w:space="0" w:color="A86F9F"/>
              <w:left w:val="single" w:sz="4" w:space="0" w:color="cac4d2"/>
              <w:bottom w:val="single" w:sz="4" w:space="0" w:color="cac4d2"/>
              <w:right w:val="single" w:sz="4" w:space="0" w:color="cac4d2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b/>
                <w:bCs/>
                <w:color w:val="1c1b20"/>
                <w:sz w:val="26"/>
                <w:szCs w:val="26"/>
              </w:rPr>
              <w:t xml:space="preserve">1 standard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5B5866"/>
                <w:sz w:val="15"/>
                <w:szCs w:val="15"/>
              </w:rPr>
              <w:t xml:space="preserve">portable Apache stack, RHEL 6 → 9.5, adopted in production</w:t>
            </w:r>
          </w:p>
        </w:tc>
      </w:tr>
    </w:tbl>
    <w:p>
      <w:pPr>
        <w:keepNext/>
        <w:keepLines/>
        <w:spacing w:before="90" w:after="80" w:line="252" w:lineRule="auto"/>
      </w:pPr>
      <w:r>
        <w:rPr>
          <w:rFonts w:ascii="Consolas" w:hAnsi="Consolas" w:cs="Consolas"/>
          <w:b/>
          <w:bCs/>
          <w:color w:val="9775BA"/>
          <w:sz w:val="18"/>
          <w:szCs w:val="18"/>
        </w:rPr>
        <w:t xml:space="preserve">// </w:t>
      </w:r>
      <w:r>
        <w:rPr>
          <w:rFonts w:ascii="Consolas" w:hAnsi="Consolas" w:cs="Consolas"/>
          <w:b/>
          <w:bCs/>
          <w:color w:val="7a68b4"/>
          <w:spacing w:val="16"/>
          <w:sz w:val="18"/>
          <w:szCs w:val="18"/>
        </w:rPr>
        <w:t xml:space="preserve">EXPERIENCE</w:t>
      </w:r>
    </w:p>
    <w:p>
      <w:pPr>
        <w:keepNext/>
        <w:keepLines/>
        <w:tabs>
          <w:tab w:val="right" w:pos="10906"/>
        </w:tabs>
        <w:spacing w:before="110" w:after="30" w:line="252" w:lineRule="auto"/>
      </w:pPr>
      <w:r>
        <w:rPr>
          <w:rFonts w:ascii="Calibri" w:hAnsi="Calibri" w:cs="Calibri"/>
          <w:b/>
          <w:bCs/>
          <w:color w:val="1c1b20"/>
          <w:sz w:val="22"/>
          <w:szCs w:val="22"/>
        </w:rPr>
        <w:t xml:space="preserve">CS Consulting</w:t>
      </w:r>
      <w:r>
        <w:rPr>
          <w:rFonts w:ascii="Calibri" w:hAnsi="Calibri" w:cs="Calibri"/>
          <w:sz w:val="19"/>
          <w:szCs w:val="19"/>
        </w:rPr>
        <w:tab/>
      </w:r>
      <w:r>
        <w:rPr>
          <w:rFonts w:ascii="Consolas" w:hAnsi="Consolas" w:cs="Consolas"/>
          <w:color w:val="A86F9F"/>
          <w:sz w:val="16"/>
          <w:szCs w:val="16"/>
        </w:rPr>
        <w:t xml:space="preserve">Feb 2020 → present</w:t>
      </w:r>
    </w:p>
    <w:p>
      <w:pPr>
        <w:keepNext/>
        <w:keepLines/>
        <w:spacing w:before="0" w:after="30" w:line="252" w:lineRule="auto"/>
      </w:pPr>
      <w:r>
        <w:rPr>
          <w:rFonts w:ascii="Calibri" w:hAnsi="Calibri" w:cs="Calibri"/>
          <w:b/>
          <w:bCs/>
          <w:color w:val="6866A7"/>
          <w:sz w:val="18"/>
          <w:szCs w:val="18"/>
        </w:rPr>
        <w:t xml:space="preserve">DevOps &amp; Platform Engineer — Founder</w:t>
      </w:r>
      <w:r>
        <w:rPr>
          <w:rFonts w:ascii="Calibri" w:hAnsi="Calibri" w:cs="Calibri"/>
          <w:color w:val="7C7889"/>
          <w:sz w:val="18"/>
          <w:szCs w:val="18"/>
        </w:rPr>
        <w:t xml:space="preserve"> · Paris · hybrid · independent</w:t>
      </w:r>
    </w:p>
    <w:p>
      <w:pPr>
        <w:spacing w:before="0" w:after="50" w:line="252" w:lineRule="auto"/>
      </w:pPr>
      <w:r>
        <w:rPr>
          <w:rFonts w:ascii="Calibri" w:hAnsi="Calibri" w:cs="Calibri"/>
          <w:color w:val="5B5866"/>
          <w:sz w:val="17"/>
          <w:szCs w:val="17"/>
        </w:rPr>
        <w:t xml:space="preserve">My own company: I design and run products end to end — architecture, specification, go-live, operations, support. Sole trader in 2020, incorporated in 2023.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From carbon paper to a multi-tenant SaaS</w:t>
      </w:r>
      <w:r>
        <w:rPr>
          <w:rFonts w:ascii="Calibri" w:hAnsi="Calibri" w:cs="Calibri"/>
          <w:color w:val="484550"/>
          <w:sz w:val="18"/>
          <w:szCs w:val="18"/>
        </w:rPr>
        <w:t xml:space="preserve">: Astre Solutions ran its purchase and delivery notes on carbon paper, in duplicate. I delivered a macOS document generation tool, synchronised and backed up off site. The same client then asked me to automate refrigerant-gas regulatory forms for Co&amp;Sta, then the CRM, the scheduling, the field technicians — it became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Norteo</w:t>
      </w:r>
      <w:r>
        <w:rPr>
          <w:rFonts w:ascii="Calibri" w:hAnsi="Calibri" w:cs="Calibri"/>
          <w:color w:val="484550"/>
          <w:sz w:val="18"/>
          <w:szCs w:val="18"/>
        </w:rPr>
        <w:t xml:space="preserve">, now offered to other refrigeration companies with their agreement.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Norteo</w:t>
      </w:r>
      <w:r>
        <w:rPr>
          <w:rFonts w:ascii="Calibri" w:hAnsi="Calibri" w:cs="Calibri"/>
          <w:color w:val="484550"/>
          <w:sz w:val="18"/>
          <w:szCs w:val="18"/>
        </w:rPr>
        <w:t xml:space="preserve">, a multi-trade management SaaS I design and operate: 15 trades, 70 data models, white-label multi-instance architecture, JWT tenant isolation, TOTP MFA. Stripe subscriptions, bank aggregation through Bridge API v3 (PSD2-licensed aggregator) with automatic payment reconciliation. Regulatory documents generated automatically.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color w:val="484550"/>
          <w:sz w:val="18"/>
          <w:szCs w:val="18"/>
        </w:rPr>
        <w:t xml:space="preserve">What holds it together: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20,600 automated tests</w:t>
      </w:r>
      <w:r>
        <w:rPr>
          <w:rFonts w:ascii="Calibri" w:hAnsi="Calibri" w:cs="Calibri"/>
          <w:color w:val="484550"/>
          <w:sz w:val="18"/>
          <w:szCs w:val="18"/>
        </w:rPr>
        <w:t xml:space="preserve"> — 19,000 unit (Vitest), 1,300 end-to-end (Playwright) — a blocking SonarQube quality gate before build, static security analysis, secret and dependency vulnerability scanning in CI. These products carry money paths: I do not see my job as writing code, but as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specifying what must be true and building the proof that it is</w:t>
      </w:r>
      <w:r>
        <w:rPr>
          <w:rFonts w:ascii="Calibri" w:hAnsi="Calibri" w:cs="Calibri"/>
          <w:color w:val="484550"/>
          <w:sz w:val="18"/>
          <w:szCs w:val="18"/>
        </w:rPr>
        <w:t xml:space="preserve">.</w:t>
      </w:r>
    </w:p>
    <w:p>
      <w:pPr>
        <w:keepNext/>
        <w:keepLines/>
        <w:tabs>
          <w:tab w:val="right" w:pos="10906"/>
        </w:tabs>
        <w:spacing w:before="110" w:after="30" w:line="252" w:lineRule="auto"/>
      </w:pPr>
      <w:r>
        <w:rPr>
          <w:rFonts w:ascii="Calibri" w:hAnsi="Calibri" w:cs="Calibri"/>
          <w:b/>
          <w:bCs/>
          <w:color w:val="1c1b20"/>
          <w:sz w:val="22"/>
          <w:szCs w:val="22"/>
        </w:rPr>
        <w:t xml:space="preserve">BPCE IT</w:t>
      </w:r>
      <w:r>
        <w:rPr>
          <w:rFonts w:ascii="Calibri" w:hAnsi="Calibri" w:cs="Calibri"/>
          <w:sz w:val="19"/>
          <w:szCs w:val="19"/>
        </w:rPr>
        <w:tab/>
      </w:r>
      <w:r>
        <w:rPr>
          <w:rFonts w:ascii="Consolas" w:hAnsi="Consolas" w:cs="Consolas"/>
          <w:color w:val="A86F9F"/>
          <w:sz w:val="16"/>
          <w:szCs w:val="16"/>
        </w:rPr>
        <w:t xml:space="preserve">Nov 2024 → present</w:t>
      </w:r>
    </w:p>
    <w:p>
      <w:pPr>
        <w:keepNext/>
        <w:keepLines/>
        <w:spacing w:before="0" w:after="30" w:line="252" w:lineRule="auto"/>
      </w:pPr>
      <w:r>
        <w:rPr>
          <w:rFonts w:ascii="Calibri" w:hAnsi="Calibri" w:cs="Calibri"/>
          <w:b/>
          <w:bCs/>
          <w:color w:val="6866A7"/>
          <w:sz w:val="18"/>
          <w:szCs w:val="18"/>
        </w:rPr>
        <w:t xml:space="preserve">DevOps Engineer, Build &amp; Integration</w:t>
      </w:r>
      <w:r>
        <w:rPr>
          <w:rFonts w:ascii="Calibri" w:hAnsi="Calibri" w:cs="Calibri"/>
          <w:color w:val="7C7889"/>
          <w:sz w:val="18"/>
          <w:szCs w:val="18"/>
        </w:rPr>
        <w:t xml:space="preserve"> · Paris · hybrid · freelance</w:t>
      </w:r>
    </w:p>
    <w:p>
      <w:pPr>
        <w:spacing w:before="0" w:after="50" w:line="252" w:lineRule="auto"/>
      </w:pPr>
      <w:r>
        <w:rPr>
          <w:rFonts w:ascii="Calibri" w:hAnsi="Calibri" w:cs="Calibri"/>
          <w:color w:val="5B5866"/>
          <w:sz w:val="17"/>
          <w:szCs w:val="17"/>
        </w:rPr>
        <w:t xml:space="preserve">Run the group pilot for the automation platform, and turn an abandoned internal tool into a group-wide service.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Group pilot for Ansible Automation Platform</w:t>
      </w:r>
      <w:r>
        <w:rPr>
          <w:rFonts w:ascii="Calibri" w:hAnsi="Calibri" w:cs="Calibri"/>
          <w:color w:val="484550"/>
          <w:sz w:val="18"/>
          <w:szCs w:val="18"/>
        </w:rPr>
        <w:t xml:space="preserve">: the first application production scope in the group to receive the platform, delivered bare. I drove the access model (accounts, privilege levels) and defined the usage standards — naming conventions, deployment granularity by group, by server type or by whole environment. The inventory is built dynamically from the CMDB and enriched with the variables the playbooks consume: derived from the source of truth instead of maintained by hand. Standards presented to the executive committee, then handed over to a second production team I trained. Same inventory principle for Java keystores and truststores.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One terminal, one source of truth</w:t>
      </w:r>
      <w:r>
        <w:rPr>
          <w:rFonts w:ascii="Calibri" w:hAnsi="Calibri" w:cs="Calibri"/>
          <w:color w:val="484550"/>
          <w:sz w:val="18"/>
          <w:szCs w:val="18"/>
        </w:rPr>
        <w:t xml:space="preserve">: two hundred people across business IT and operations opened SSH and RDP sessions daily on more than 1,600 servers with no standard — everyone kept their own connection book, inherited from stale exports, fixed by hand at every VM created or decommissioned. I replaced data entry with generation: an Ansible role queries the CMDB three times a day, filters by each team's entitlements, enriches every host with its connection string through the CyberArk bastion and publishes a Royal TS dynamic folder that reloads itself. Not one connection maintained by hand,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1,700 servers processed in 18 seconds</w:t>
      </w:r>
      <w:r>
        <w:rPr>
          <w:rFonts w:ascii="Calibri" w:hAnsi="Calibri" w:cs="Calibri"/>
          <w:color w:val="484550"/>
          <w:sz w:val="18"/>
          <w:szCs w:val="18"/>
        </w:rPr>
        <w:t xml:space="preserve">, a newcomer operational on day one. Presented to the executive committee, approved, in daily use.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Logs for developers, without giving them production</w:t>
      </w:r>
      <w:r>
        <w:rPr>
          <w:rFonts w:ascii="Calibri" w:hAnsi="Calibri" w:cs="Calibri"/>
          <w:color w:val="484550"/>
          <w:sz w:val="18"/>
          <w:szCs w:val="18"/>
        </w:rPr>
        <w:t xml:space="preserve">: SSH access to production is denied to development teams — so no autonomous way to read an application log, and longer resolution times on every incident. I took over an outdated, unmaintained and insecure tool and turned it into a self-service log consultation service: one instance per server, a dedicated URL, LDAP/Kerberos authentication, browsing and download from the browser. The friction disappears, the security boundary stays intact.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Deployed on ~1,200 servers</w:t>
      </w:r>
      <w:r>
        <w:rPr>
          <w:rFonts w:ascii="Calibri" w:hAnsi="Calibri" w:cs="Calibri"/>
          <w:color w:val="484550"/>
          <w:sz w:val="18"/>
          <w:szCs w:val="18"/>
        </w:rPr>
        <w:t xml:space="preserve">, adopted by all fifteen business IT departments of the division and used by around 200 people across business IT and operations; presented to the executive committee, under review as a group product.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What makes that deployment possible</w:t>
      </w:r>
      <w:r>
        <w:rPr>
          <w:rFonts w:ascii="Calibri" w:hAnsi="Calibri" w:cs="Calibri"/>
          <w:color w:val="484550"/>
          <w:sz w:val="18"/>
          <w:szCs w:val="18"/>
        </w:rPr>
        <w:t xml:space="preserve">: an Apache stack compiled end to end — Apache, APR, OpenSSL, OpenLDAP, Expat — with no system dependency, runnable without root privileges, from RHEL 6 to RHEL 9.5. It installs on a bare Red Hat, coexists with an existing Apache or JBoss and survives an OS upgrade —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adopted as the production standard</w:t>
      </w:r>
      <w:r>
        <w:rPr>
          <w:rFonts w:ascii="Calibri" w:hAnsi="Calibri" w:cs="Calibri"/>
          <w:color w:val="484550"/>
          <w:sz w:val="18"/>
          <w:szCs w:val="18"/>
        </w:rPr>
        <w:t xml:space="preserve">. Delivery pipeline Bitbucket → Jenkins → Artifactory → XL Deploy.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color w:val="484550"/>
          <w:sz w:val="18"/>
          <w:szCs w:val="18"/>
        </w:rPr>
        <w:t xml:space="preserve">Daily run, 24/7 on-call rotation, application-domain lead with the business IT departments; team training and onboarding material.</w:t>
      </w:r>
    </w:p>
    <w:p>
      <w:pPr>
        <w:keepNext/>
        <w:keepLines/>
        <w:tabs>
          <w:tab w:val="right" w:pos="10906"/>
        </w:tabs>
        <w:spacing w:before="110" w:after="30" w:line="252" w:lineRule="auto"/>
      </w:pPr>
      <w:r>
        <w:rPr>
          <w:rFonts w:ascii="Calibri" w:hAnsi="Calibri" w:cs="Calibri"/>
          <w:b/>
          <w:bCs/>
          <w:color w:val="1c1b20"/>
          <w:sz w:val="22"/>
          <w:szCs w:val="22"/>
        </w:rPr>
        <w:t xml:space="preserve">Amundi</w:t>
      </w:r>
      <w:r>
        <w:rPr>
          <w:rFonts w:ascii="Calibri" w:hAnsi="Calibri" w:cs="Calibri"/>
          <w:sz w:val="19"/>
          <w:szCs w:val="19"/>
        </w:rPr>
        <w:tab/>
      </w:r>
      <w:r>
        <w:rPr>
          <w:rFonts w:ascii="Consolas" w:hAnsi="Consolas" w:cs="Consolas"/>
          <w:color w:val="A86F9F"/>
          <w:sz w:val="16"/>
          <w:szCs w:val="16"/>
        </w:rPr>
        <w:t xml:space="preserve">Jan 2022 → Oct 2024</w:t>
      </w:r>
    </w:p>
    <w:p>
      <w:pPr>
        <w:keepNext/>
        <w:keepLines/>
        <w:spacing w:before="0" w:after="30" w:line="252" w:lineRule="auto"/>
      </w:pPr>
      <w:r>
        <w:rPr>
          <w:rFonts w:ascii="Calibri" w:hAnsi="Calibri" w:cs="Calibri"/>
          <w:b/>
          <w:bCs/>
          <w:color w:val="6866A7"/>
          <w:sz w:val="18"/>
          <w:szCs w:val="18"/>
        </w:rPr>
        <w:t xml:space="preserve">DevOps Engineer — application lead, deputy tech lead</w:t>
      </w:r>
      <w:r>
        <w:rPr>
          <w:rFonts w:ascii="Calibri" w:hAnsi="Calibri" w:cs="Calibri"/>
          <w:color w:val="7C7889"/>
          <w:sz w:val="18"/>
          <w:szCs w:val="18"/>
        </w:rPr>
        <w:t xml:space="preserve"> · Paris · hybrid · freelance</w:t>
      </w:r>
    </w:p>
    <w:p>
      <w:pPr>
        <w:spacing w:before="0" w:after="50" w:line="252" w:lineRule="auto"/>
      </w:pPr>
      <w:r>
        <w:rPr>
          <w:rFonts w:ascii="Calibri" w:hAnsi="Calibri" w:cs="Calibri"/>
          <w:color w:val="5B5866"/>
          <w:sz w:val="17"/>
          <w:szCs w:val="17"/>
        </w:rPr>
        <w:t xml:space="preserve">Application scope of a finance division — finance, employee savings, private banking: four to five packaged products, business stakeholders on the demand side, direct support to the team leader.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End-to-end SAS migration</w:t>
      </w:r>
      <w:r>
        <w:rPr>
          <w:rFonts w:ascii="Calibri" w:hAnsi="Calibri" w:cs="Calibri"/>
          <w:color w:val="484550"/>
          <w:sz w:val="18"/>
          <w:szCs w:val="18"/>
        </w:rPr>
        <w:t xml:space="preserve">: a strategic analytics platform reaching end of support — without an upgrade, the finance division would lose it. Six months from scoping to go-live, alongside a vendor consultant: study of the possible targets and sizing with the infrastructure teams, scoping of the business perimeter with users, provisioning, installation, network, LDAP and Active Directory integration, documentation, handover.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color w:val="484550"/>
          <w:sz w:val="18"/>
          <w:szCs w:val="18"/>
        </w:rPr>
        <w:t xml:space="preserve">Automated fail-over of application and database clusters during DR exercises: a manual procedure made </w:t>
      </w:r>
      <w:r>
        <w:rPr>
          <w:rFonts w:ascii="Calibri" w:hAnsi="Calibri" w:cs="Calibri"/>
          <w:b/>
          <w:bCs/>
          <w:color w:val="484550"/>
          <w:sz w:val="18"/>
          <w:szCs w:val="18"/>
        </w:rPr>
        <w:t xml:space="preserve">repeatable identically</w:t>
      </w:r>
      <w:r>
        <w:rPr>
          <w:rFonts w:ascii="Calibri" w:hAnsi="Calibri" w:cs="Calibri"/>
          <w:color w:val="484550"/>
          <w:sz w:val="18"/>
          <w:szCs w:val="18"/>
        </w:rPr>
        <w:t xml:space="preserve">, with no human input. Deployments Git → AWX → Ansible and Control-M “as code” (JSON/Jinja2 templates deployed by playbook). Daily application status collected and published by the pipeline instead of being checked by hand every morning.</w:t>
      </w:r>
    </w:p>
    <w:p>
      <w:pPr>
        <w:spacing w:before="0" w:after="24" w:line="232" w:lineRule="auto"/>
        <w:ind w:left="227" w:hanging="142"/>
      </w:pPr>
      <w:r>
        <w:rPr>
          <w:rFonts w:ascii="Calibri" w:hAnsi="Calibri" w:cs="Calibri"/>
          <w:color w:val="6866A7"/>
          <w:sz w:val="19"/>
          <w:szCs w:val="19"/>
        </w:rPr>
        <w:t xml:space="preserve">• </w:t>
      </w:r>
      <w:r>
        <w:rPr>
          <w:rFonts w:ascii="Calibri" w:hAnsi="Calibri" w:cs="Calibri"/>
          <w:color w:val="484550"/>
          <w:sz w:val="18"/>
          <w:szCs w:val="18"/>
        </w:rPr>
        <w:t xml:space="preserve">Oracle Financials &amp; OBIEE migration from Solaris to SUSE; applications running on a Rancher Kubernetes platform driven by ArgoCD. Diagnosis of incidents across the whole scope, in particular those reported with no usable technical evidence; team meetings run in English; onboarding of newcomers and internal documentation.</w:t>
      </w:r>
    </w:p>
    <w:p>
      <w:pPr>
        <w:spacing w:before="60" w:after="120" w:line="252" w:lineRule="auto"/>
      </w:pPr>
      <w:r>
        <w:rPr>
          <w:rFonts w:ascii="Calibri" w:hAnsi="Calibri" w:cs="Calibri"/>
          <w:color w:val="484550"/>
          <w:sz w:val="16"/>
          <w:szCs w:val="16"/>
        </w:rPr>
        <w:t xml:space="preserve">Earlier: BPCE Lease (2020 → 2021) — migration of a critical reporting application to Azure, taken over and delivered single-handed after the project manager left · Amundi (2017 → 2020) — operations analyst, application production · Euler Hermes (2015 → 2017) — operations &amp; datacenter technician.</w:t>
      </w:r>
    </w:p>
    <w:p>
      <w:pPr>
        <w:keepNext/>
        <w:keepLines/>
        <w:spacing w:before="90" w:after="80" w:line="252" w:lineRule="auto"/>
      </w:pPr>
      <w:r>
        <w:rPr>
          <w:rFonts w:ascii="Consolas" w:hAnsi="Consolas" w:cs="Consolas"/>
          <w:b/>
          <w:bCs/>
          <w:color w:val="9775BA"/>
          <w:sz w:val="18"/>
          <w:szCs w:val="18"/>
        </w:rPr>
        <w:t xml:space="preserve">// </w:t>
      </w:r>
      <w:r>
        <w:rPr>
          <w:rFonts w:ascii="Consolas" w:hAnsi="Consolas" w:cs="Consolas"/>
          <w:b/>
          <w:bCs/>
          <w:color w:val="7a68b4"/>
          <w:spacing w:val="16"/>
          <w:sz w:val="18"/>
          <w:szCs w:val="18"/>
        </w:rPr>
        <w:t xml:space="preserve">SKILLS</w:t>
      </w:r>
    </w:p>
    <w:tbl>
      <w:tblPr>
        <w:tblW w:w="10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</w:tblPr>
      <w:tblGrid>
        <w:gridCol w:w="5303"/>
        <w:gridCol w:w="300"/>
        <w:gridCol w:w="5303"/>
      </w:tblGrid>
      <w:tr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Automation &amp; CI/CD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Ansible · Ansible Automation Platform 2 · AWX · Jenkins · GitLab CI · Bitbucket · Artifactory · XL Deploy / XL Release · ArgoCD · Helm · Kustomize</w:t>
            </w:r>
          </w:p>
        </w:tc>
        <w:tc>
          <w:tcPr>
            <w:tcW w:w="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Containers &amp; orchestration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Docker · Kubernetes · K3s · Longhorn · MetalLB · ingress-nginx · cert-manager · Sealed Secrets</w:t>
            </w:r>
          </w:p>
        </w:tc>
      </w:tr>
      <w:tr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Cloud &amp; IaC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Azure and Terraform (BPCE Lease migration 2021) · XCP-ng · vSphere · Docker Compose</w:t>
            </w:r>
          </w:p>
        </w:tc>
        <w:tc>
          <w:tcPr>
            <w:tcW w:w="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Systems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Red Hat (RHEL 6 → 9.5) · SUSE · Debian/Arch · AIX · Solaris · Windows Server · Apache HTTPD · JBoss · Nginx</w:t>
            </w:r>
          </w:p>
        </w:tc>
      </w:tr>
      <w:tr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Verification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Unit testing · end-to-end testing · Vitest · Playwright · SonarQube · static security analysis · secret detection · vulnerability scanning</w:t>
            </w:r>
          </w:p>
        </w:tc>
        <w:tc>
          <w:tcPr>
            <w:tcW w:w="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AI &amp; agents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LLMOps · Model Context Protocol (MCP) · AI agents · LLM security · per-model cost tracking · Anthropic Claude</w:t>
            </w:r>
          </w:p>
        </w:tc>
      </w:tr>
      <w:tr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Observability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Prometheus · Grafana · Loki · OpenTelemetry · VictoriaMetrics · Centreon · Zabbix · AppDynamics · Splunk</w:t>
            </w:r>
          </w:p>
        </w:tc>
        <w:tc>
          <w:tcPr>
            <w:tcW w:w="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Security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SSL/TLS · OpenSSL · JKS keystores · Venafi · CyberArk (PSM/PSMP) · LDAP · Infisical · Authentik · Linux hardening</w:t>
            </w:r>
          </w:p>
        </w:tc>
      </w:tr>
      <w:tr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3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8"/>
                <w:szCs w:val="18"/>
              </w:rPr>
              <w:t xml:space="preserve">Languages</w:t>
            </w:r>
          </w:p>
          <w:p>
            <w:pPr>
              <w:spacing w:before="0" w:after="50" w:line="252" w:lineRule="auto"/>
            </w:pPr>
            <w:r>
              <w:rPr>
                <w:rFonts w:ascii="Consolas" w:hAnsi="Consolas" w:cs="Consolas"/>
                <w:color w:val="484550"/>
                <w:sz w:val="15"/>
                <w:szCs w:val="15"/>
              </w:rPr>
              <w:t xml:space="preserve">Bash · Python · jq · YAML · Jinja2 · JSON · Rust (basics)</w:t>
            </w:r>
          </w:p>
        </w:tc>
        <w:tc>
          <w:tcPr>
            <w:tcW w:w="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</w:tr>
    </w:tbl>
    <w:p>
      <w:pPr>
        <w:keepNext/>
        <w:keepLines/>
        <w:spacing w:before="90" w:after="80" w:line="252" w:lineRule="auto"/>
      </w:pPr>
      <w:r>
        <w:rPr>
          <w:rFonts w:ascii="Consolas" w:hAnsi="Consolas" w:cs="Consolas"/>
          <w:b/>
          <w:bCs/>
          <w:color w:val="9775BA"/>
          <w:sz w:val="18"/>
          <w:szCs w:val="18"/>
        </w:rPr>
        <w:t xml:space="preserve">// </w:t>
      </w:r>
      <w:r>
        <w:rPr>
          <w:rFonts w:ascii="Consolas" w:hAnsi="Consolas" w:cs="Consolas"/>
          <w:b/>
          <w:bCs/>
          <w:color w:val="7a68b4"/>
          <w:spacing w:val="16"/>
          <w:sz w:val="18"/>
          <w:szCs w:val="18"/>
        </w:rPr>
        <w:t xml:space="preserve">PROJECTS</w:t>
      </w:r>
    </w:p>
    <w:tbl>
      <w:tblPr>
        <w:tblW w:w="10906" w:type="dxa"/>
        <w:tblLayout w:type="fixed"/>
        <w:tblCellMar>
          <w:left w:w="0" w:type="dxa"/>
          <w:right w:w="0" w:type="dxa"/>
        </w:tblCellMar>
      </w:tblPr>
      <w:tblGrid>
        <w:gridCol w:w="5333"/>
        <w:gridCol w:w="240"/>
        <w:gridCol w:w="5333"/>
      </w:tblGrid>
      <w:tr>
        <w:tc>
          <w:tcPr>
            <w:tcW w:w="5333" w:type="dxa"/>
            <w:tcBorders>
              <w:top w:val="single" w:sz="4" w:space="0" w:color="cac4d2"/>
              <w:left w:val="single" w:sz="24" w:space="0" w:color="6866A7"/>
              <w:bottom w:val="single" w:sz="4" w:space="0" w:color="cac4d2"/>
              <w:right w:val="single" w:sz="4" w:space="0" w:color="cac4d2"/>
            </w:tcBorders>
            <w:tcMar>
              <w:top w:w="120" w:type="dxa"/>
              <w:left w:w="160" w:type="dxa"/>
              <w:bottom w:w="120" w:type="dxa"/>
              <w:right w:w="140" w:type="dxa"/>
            </w:tcMar>
          </w:tcPr>
          <w:p>
            <w:pPr>
              <w:keepNext/>
              <w:keepLines/>
              <w:spacing w:before="0" w:after="2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9"/>
                <w:szCs w:val="19"/>
              </w:rPr>
              <w:t xml:space="preserve">Homelab K3s, 100 % GitOps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color w:val="7a68b4"/>
                <w:sz w:val="15"/>
                <w:szCs w:val="15"/>
              </w:rPr>
              <w:t xml:space="preserve">homelab.scasse.com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3 Raspberry Pi 4, K3s, MetalLB, Longhorn, cert-manager, Sealed Secrets, Argo CD App-of-Apps (9 apps), 3 Ansible playbooks, Hugo docs deployed by GitLab CI. As of 2025: the infrastructure has since moved to an XCP-ng platform.</w:t>
            </w:r>
          </w:p>
        </w:tc>
        <w:tc>
          <w:tcPr>
            <w:tcW w:w="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33" w:type="dxa"/>
            <w:tcBorders>
              <w:top w:val="single" w:sz="4" w:space="0" w:color="cac4d2"/>
              <w:left w:val="single" w:sz="24" w:space="0" w:color="A86F9F"/>
              <w:bottom w:val="single" w:sz="4" w:space="0" w:color="cac4d2"/>
              <w:right w:val="single" w:sz="4" w:space="0" w:color="cac4d2"/>
            </w:tcBorders>
            <w:tcMar>
              <w:top w:w="120" w:type="dxa"/>
              <w:left w:w="160" w:type="dxa"/>
              <w:bottom w:w="120" w:type="dxa"/>
              <w:right w:w="140" w:type="dxa"/>
            </w:tcMar>
          </w:tcPr>
          <w:p>
            <w:pPr>
              <w:keepNext/>
              <w:keepLines/>
              <w:spacing w:before="0" w:after="2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9"/>
                <w:szCs w:val="19"/>
              </w:rPr>
              <w:t xml:space="preserve">Skynet — local-first AI cockpit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color w:val="7a68b4"/>
                <w:sz w:val="15"/>
                <w:szCs w:val="15"/>
              </w:rPr>
              <w:t xml:space="preserve">Claude · MCP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Personal assistant driven by Claude, run like a production application: zero-tolerance CI, deployment gated on green, OpenTelemetry observability, per-model cost tracking, security audits replayed on every change, quarterly recovery drill.</w:t>
            </w:r>
          </w:p>
        </w:tc>
      </w:tr>
      <w:tr>
        <w:tc>
          <w:tcPr>
            <w:tcW w:w="53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90" w:lineRule="exact"/>
            </w:pPr>
          </w:p>
        </w:tc>
        <w:tc>
          <w:tcPr>
            <w:tcW w:w="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90" w:lineRule="exact"/>
            </w:pPr>
          </w:p>
        </w:tc>
        <w:tc>
          <w:tcPr>
            <w:tcW w:w="53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90" w:lineRule="exact"/>
            </w:pPr>
          </w:p>
        </w:tc>
      </w:tr>
      <w:tr>
        <w:tc>
          <w:tcPr>
            <w:tcW w:w="5333" w:type="dxa"/>
            <w:tcBorders>
              <w:top w:val="single" w:sz="4" w:space="0" w:color="cac4d2"/>
              <w:left w:val="single" w:sz="24" w:space="0" w:color="6866A7"/>
              <w:bottom w:val="single" w:sz="4" w:space="0" w:color="cac4d2"/>
              <w:right w:val="single" w:sz="4" w:space="0" w:color="cac4d2"/>
            </w:tcBorders>
            <w:tcMar>
              <w:top w:w="120" w:type="dxa"/>
              <w:left w:w="160" w:type="dxa"/>
              <w:bottom w:w="120" w:type="dxa"/>
              <w:right w:w="140" w:type="dxa"/>
            </w:tcMar>
          </w:tcPr>
          <w:p>
            <w:pPr>
              <w:keepNext/>
              <w:keepLines/>
              <w:spacing w:before="0" w:after="2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9"/>
                <w:szCs w:val="19"/>
              </w:rPr>
              <w:t xml:space="preserve">nalarch — open source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 w:cs="Consolas"/>
                <w:color w:val="7a68b4"/>
                <w:sz w:val="15"/>
                <w:szCs w:val="15"/>
              </w:rPr>
              <w:t xml:space="preserve">Rust · MIT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TUI package manager for Arch Linux; nothing runs without an approval screen.</w:t>
            </w:r>
          </w:p>
        </w:tc>
        <w:tc>
          <w:tcPr>
            <w:tcW w:w="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</w:tr>
    </w:tbl>
    <w:p>
      <w:pPr>
        <w:spacing w:before="0" w:after="0" w:line="80" w:lineRule="exact"/>
      </w:pPr>
    </w:p>
    <w:tbl>
      <w:tblPr>
        <w:tblW w:w="10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</w:tblPr>
      <w:tblGrid>
        <w:gridCol w:w="5303"/>
        <w:gridCol w:w="300"/>
        <w:gridCol w:w="5303"/>
      </w:tblGrid>
      <w:tr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80" w:line="252" w:lineRule="auto"/>
            </w:pPr>
            <w:r>
              <w:rPr>
                <w:rFonts w:ascii="Consolas" w:hAnsi="Consolas" w:cs="Consolas"/>
                <w:b/>
                <w:bCs/>
                <w:color w:val="9775BA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a68b4"/>
                <w:spacing w:val="16"/>
                <w:sz w:val="18"/>
                <w:szCs w:val="18"/>
              </w:rPr>
              <w:t xml:space="preserve">EDUCATION</w:t>
            </w:r>
          </w:p>
          <w:p>
            <w:pPr>
              <w:spacing w:before="0" w:after="40" w:line="252" w:lineRule="auto"/>
              <w:ind w:left="340" w:hanging="340"/>
            </w:pPr>
            <w:r>
              <w:rPr>
                <w:rFonts w:ascii="Consolas" w:hAnsi="Consolas" w:cs="Consolas"/>
                <w:b/>
                <w:bCs/>
                <w:color w:val="A86F9F"/>
                <w:sz w:val="16"/>
                <w:szCs w:val="16"/>
              </w:rPr>
              <w:t xml:space="preserve">2018  </w:t>
            </w: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ITIL certification (level 1)</w:t>
            </w:r>
          </w:p>
          <w:p>
            <w:pPr>
              <w:spacing w:before="0" w:after="40" w:line="252" w:lineRule="auto"/>
              <w:ind w:left="340" w:hanging="340"/>
            </w:pPr>
            <w:r>
              <w:rPr>
                <w:rFonts w:ascii="Consolas" w:hAnsi="Consolas" w:cs="Consolas"/>
                <w:b/>
                <w:bCs/>
                <w:color w:val="A86F9F"/>
                <w:sz w:val="16"/>
                <w:szCs w:val="16"/>
              </w:rPr>
              <w:t xml:space="preserve">2017  </w:t>
            </w: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École 42 Paris “Piscine” — C programming, peer-graded, no teachers</w:t>
            </w:r>
          </w:p>
          <w:p>
            <w:pPr>
              <w:spacing w:before="0" w:after="40" w:line="252" w:lineRule="auto"/>
              <w:ind w:left="340" w:hanging="340"/>
            </w:pPr>
            <w:r>
              <w:rPr>
                <w:rFonts w:ascii="Consolas" w:hAnsi="Consolas" w:cs="Consolas"/>
                <w:b/>
                <w:bCs/>
                <w:color w:val="A86F9F"/>
                <w:sz w:val="16"/>
                <w:szCs w:val="16"/>
              </w:rPr>
              <w:t xml:space="preserve">2016  </w:t>
            </w: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AIX administration certification (level 1)</w:t>
            </w:r>
          </w:p>
        </w:tc>
        <w:tc>
          <w:tcPr>
            <w:tcW w:w="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52" w:lineRule="auto"/>
            </w:pPr>
          </w:p>
        </w:tc>
        <w:tc>
          <w:tcPr>
            <w:tcW w:w="53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keepLines/>
              <w:spacing w:before="0" w:after="80" w:line="252" w:lineRule="auto"/>
            </w:pPr>
            <w:r>
              <w:rPr>
                <w:rFonts w:ascii="Consolas" w:hAnsi="Consolas" w:cs="Consolas"/>
                <w:b/>
                <w:bCs/>
                <w:color w:val="9775BA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a68b4"/>
                <w:spacing w:val="16"/>
                <w:sz w:val="18"/>
                <w:szCs w:val="18"/>
              </w:rPr>
              <w:t xml:space="preserve">LANGUAGES</w:t>
            </w:r>
          </w:p>
          <w:p>
            <w:pPr>
              <w:spacing w:before="0" w:after="5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6"/>
                <w:szCs w:val="16"/>
              </w:rPr>
              <w:t xml:space="preserve">French</w:t>
            </w: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 — native</w:t>
            </w:r>
          </w:p>
          <w:p>
            <w:pPr>
              <w:spacing w:before="0" w:after="50" w:line="252" w:lineRule="auto"/>
            </w:pPr>
            <w:r>
              <w:rPr>
                <w:rFonts w:ascii="Calibri" w:hAnsi="Calibri" w:cs="Calibri"/>
                <w:b/>
                <w:bCs/>
                <w:color w:val="1c1b20"/>
                <w:sz w:val="16"/>
                <w:szCs w:val="16"/>
              </w:rPr>
              <w:t xml:space="preserve">English</w:t>
            </w:r>
            <w:r>
              <w:rPr>
                <w:rFonts w:ascii="Calibri" w:hAnsi="Calibri" w:cs="Calibri"/>
                <w:color w:val="484550"/>
                <w:sz w:val="16"/>
                <w:szCs w:val="16"/>
              </w:rPr>
              <w:t xml:space="preserve"> — professional — team meetings run in English</w:t>
            </w:r>
          </w:p>
        </w:tc>
      </w:tr>
    </w:tbl>
    <w:sectPr>
      <w:pgSz w:w="11906" w:h="16838"/>
      <w:pgMar w:top="500" w:right="500" w:bottom="500" w:left="5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c1b20"/>
        <w:sz w:val="19"/>
        <w:szCs w:val="19"/>
      </w:rPr>
    </w:rPrDefault>
    <w:pPrDefault>
      <w:pPr>
        <w:spacing w:after="6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image" Target="media/logo.png"/></Relationships>
</file>