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tbl>
      <w:tblPr>
        <w:tblW w:w="109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Pr>
      <w:tblGrid>
        <w:gridCol w:w="1400"/>
        <w:gridCol w:w="9506"/>
      </w:tblGrid>
      <w:tr>
        <w:tc>
          <w:tcPr>
            <w:tcW w:w="1400" w:type="dxa"/>
            <w:shd w:val="clear" w:color="auto" w:fill="F3EAF6"/>
            <w:tcMar>
              <w:top w:w="240" w:type="dxa"/>
              <w:left w:w="260" w:type="dxa"/>
              <w:bottom w:w="240" w:type="dxa"/>
              <w:right w:w="0" w:type="dxa"/>
            </w:tcMar>
          </w:tcPr>
          <w:p>
            <w:pPr>
              <w:spacing w:before="0" w:after="0" w:line="252" w:lineRule="auto"/>
            </w:pPr>
            <w:r>
              <w:drawing>
                <wp:inline distT="0" distB="0" distL="0" distR="0">
                  <wp:extent cx="590550" cy="609600"/>
                  <wp:docPr id="1" name="Logo CS Consulting"/>
                  <a:graphic>
                    <a:graphicData uri="http://schemas.openxmlformats.org/drawingml/2006/picture">
                      <pic:pic>
                        <pic:nvPicPr>
                          <pic:cNvPr id="1" name="logo.png"/>
                          <pic:cNvPicPr/>
                        </pic:nvPicPr>
                        <pic:blipFill>
                          <a:blip r:embed="rId4"/>
                          <a:stretch>
                            <a:fillRect/>
                          </a:stretch>
                        </pic:blipFill>
                        <pic:spPr>
                          <a:xfrm>
                            <a:off x="0" y="0"/>
                            <a:ext cx="590550" cy="609600"/>
                          </a:xfrm>
                          <a:prstGeom prst="rect">
                            <a:avLst/>
                          </a:prstGeom>
                        </pic:spPr>
                      </pic:pic>
                    </a:graphicData>
                  </a:graphic>
                </wp:inline>
              </w:drawing>
            </w:r>
          </w:p>
        </w:tc>
        <w:tc>
          <w:tcPr>
            <w:tcW w:w="9506" w:type="dxa"/>
            <w:shd w:val="clear" w:color="auto" w:fill="F3EAF6"/>
            <w:tcMar>
              <w:top w:w="240" w:type="dxa"/>
              <w:left w:w="220" w:type="dxa"/>
              <w:bottom w:w="240" w:type="dxa"/>
              <w:right w:w="240" w:type="dxa"/>
            </w:tcMar>
          </w:tcPr>
          <w:p>
            <w:pPr>
              <w:tabs>
                <w:tab w:val="right" w:pos="9046"/>
              </w:tabs>
              <w:spacing w:before="0" w:after="40" w:line="252" w:lineRule="auto"/>
            </w:pPr>
            <w:r>
              <w:rPr>
                <w:rFonts w:ascii="Consolas" w:hAnsi="Consolas" w:cs="Consolas"/>
                <w:color w:val="6866A7"/>
                <w:sz w:val="17"/>
                <w:szCs w:val="17"/>
              </w:rPr>
              <w:t xml:space="preserve">~/cs-consulting $ whoami</w:t>
            </w:r>
            <w:r>
              <w:rPr>
                <w:rFonts w:ascii="Calibri" w:hAnsi="Calibri" w:cs="Calibri"/>
                <w:sz w:val="19"/>
                <w:szCs w:val="19"/>
              </w:rPr>
              <w:tab/>
            </w:r>
            <w:r>
              <w:rPr>
                <w:rFonts w:ascii="Consolas" w:hAnsi="Consolas" w:cs="Consolas"/>
                <w:color w:val="5B5866"/>
                <w:sz w:val="17"/>
                <w:szCs w:val="17"/>
              </w:rPr>
              <w:t xml:space="preserve">Île-de-France · Remote</w:t>
            </w:r>
          </w:p>
          <w:p>
            <w:pPr>
              <w:spacing w:before="0" w:after="40" w:line="252" w:lineRule="auto"/>
            </w:pPr>
            <w:r>
              <w:rPr>
                <w:rFonts w:ascii="Calibri" w:hAnsi="Calibri" w:cs="Calibri"/>
                <w:b/>
                <w:bCs/>
                <w:color w:val="1c1b20"/>
                <w:sz w:val="44"/>
                <w:szCs w:val="44"/>
              </w:rPr>
              <w:t xml:space="preserve">Stephen Casse</w:t>
            </w:r>
            <w:r>
              <w:rPr>
                <w:rFonts w:ascii="Calibri" w:hAnsi="Calibri" w:cs="Calibri"/>
                <w:color w:val="5B5866"/>
                <w:sz w:val="44"/>
                <w:szCs w:val="44"/>
              </w:rPr>
              <w:t xml:space="preserve"> · ksh</w:t>
            </w:r>
          </w:p>
          <w:p>
            <w:pPr>
              <w:spacing w:before="0" w:after="0" w:line="252" w:lineRule="auto"/>
            </w:pPr>
            <w:r>
              <w:rPr>
                <w:rFonts w:ascii="Calibri" w:hAnsi="Calibri" w:cs="Calibri"/>
                <w:b/>
                <w:bCs/>
                <w:color w:val="6866A7"/>
                <w:sz w:val="19"/>
                <w:szCs w:val="19"/>
              </w:rPr>
              <w:t xml:space="preserve">Ingénieur DevOps / SRE Freelance</w:t>
            </w:r>
            <w:r>
              <w:rPr>
                <w:rFonts w:ascii="Calibri" w:hAnsi="Calibri" w:cs="Calibri"/>
                <w:color w:val="5B5866"/>
                <w:sz w:val="19"/>
                <w:szCs w:val="19"/>
              </w:rPr>
              <w:t xml:space="preserve"> — Vérification · Automatisation</w:t>
            </w:r>
          </w:p>
        </w:tc>
      </w:tr>
    </w:tbl>
    <w:tbl>
      <w:tblPr>
        <w:tblW w:w="10906" w:type="dxa"/>
        <w:tblLayout w:type="fixed"/>
        <w:tblCellMar>
          <w:left w:w="0" w:type="dxa"/>
          <w:right w:w="0" w:type="dxa"/>
        </w:tblCellMar>
      </w:tblPr>
      <w:tblGrid>
        <w:gridCol w:w="10906"/>
      </w:tblGrid>
      <w:tr>
        ['
        <w:tc>
          <w:tcPr>
            <w:tcW w:w="10906" w:type="dxa"/>
            <w:tcBorders>
              <w:top w:val="single" w:sz="4" w:space="0" w:color="f7f2f9"/>
              <w:left w:val="single" w:sz="4" w:space="0" w:color="f7f2f9"/>
              <w:bottom w:val="single" w:sz="4" w:space="0" w:color="cac4d2"/>
              <w:right w:val="single" w:sz="4" w:space="0" w:color="f7f2f9"/>
            </w:tcBorders>
            <w:shd w:val="clear" w:color="auto" w:fill="f7f2f9"/>
            <w:tcMar>
              <w:top w:w="110" w:type="dxa"/>
              <w:left w:w="220" w:type="dxa"/>
              <w:bottom w:w="110" w:type="dxa"/>
              <w:right w:w="220" w:type="dxa"/>
            </w:tcMar>
          </w:tcPr>
          <w:p>
            <w:pPr>
              <w:spacing w:before="0" w:after="0" w:line="252" w:lineRule="auto"/>
            </w:pPr>
            <w:r>
              <w:rPr>
                <w:rFonts w:ascii="Calibri" w:hAnsi="Calibri" w:cs="Calibri"/>
                <w:color w:val="484550"/>
                <w:sz w:val="17"/>
                <w:szCs w:val="17"/>
              </w:rPr>
              <w:t xml:space="preserve">contact@scasse.com · 06 58 44 35 79 · linkedin.com/in/stephen-casse · github.com/ksh2177 · ksh2177.github.io</w:t>
            </w:r>
          </w:p>
        </w:tc>
        ']
      </w:tr>
    </w:tbl>
    <w:p>
      <w:pPr>
        <w:spacing w:before="0" w:after="0" w:line="200" w:lineRule="exact"/>
      </w:pPr>
    </w:p>
    <w:p>
      <w:pPr>
        <w:spacing w:before="0" w:after="180" w:line="276" w:lineRule="auto"/>
      </w:pPr>
      <w:r>
        <w:rPr>
          <w:rFonts w:ascii="Calibri" w:hAnsi="Calibri" w:cs="Calibri"/>
          <w:color w:val="1c1b20"/>
          <w:sz w:val="21"/>
          <w:szCs w:val="21"/>
        </w:rPr>
        <w:t xml:space="preserve">Onze ans en production bancaire critique (Amundi, BPCE, Euler Hermes), et l'exploitation de mes propres produits — paiement Stripe, agrégation bancaire DSP2. J'applique l'ingénierie de production aux systèmes IA : pas les prompts, ce qu'il y a autour — preuve exécutable, coût mesuré, sécurité auditée, plan de sortie testé.</w:t>
      </w:r>
    </w:p>
    <w:tbl>
      <w:tblPr>
        <w:tblW w:w="10844" w:type="dxa"/>
        <w:tblLayout w:type="fixed"/>
        <w:tblCellMar>
          <w:left w:w="0" w:type="dxa"/>
          <w:right w:w="0" w:type="dxa"/>
        </w:tblCellMar>
      </w:tblPr>
      <w:tblGrid>
        <w:gridCol w:w="2666"/>
        <w:gridCol w:w="60"/>
        <w:gridCol w:w="2666"/>
        <w:gridCol w:w="60"/>
        <w:gridCol w:w="2666"/>
        <w:gridCol w:w="60"/>
        <w:gridCol w:w="2666"/>
      </w:tblGrid>
      <w:tr>
        <w:tc>
          <w:tcPr>
            <w:tcW w:w="2666" w:type="dxa"/>
            <w:tcBorders>
              <w:top w:val="single" w:sz="24" w:space="0" w:color="6866A7"/>
              <w:left w:val="single" w:sz="4" w:space="0" w:color="cac4d2"/>
              <w:bottom w:val="single" w:sz="4" w:space="0" w:color="cac4d2"/>
              <w:right w:val="single" w:sz="4" w:space="0" w:color="cac4d2"/>
            </w:tcBorders>
            <w:tcMar>
              <w:top w:w="140" w:type="dxa"/>
              <w:left w:w="160" w:type="dxa"/>
              <w:bottom w:w="140" w:type="dxa"/>
              <w:right w:w="160" w:type="dxa"/>
            </w:tcMar>
          </w:tcPr>
          <w:p>
            <w:pPr>
              <w:spacing w:before="0" w:after="20" w:line="252" w:lineRule="auto"/>
            </w:pPr>
            <w:r>
              <w:rPr>
                <w:rFonts w:ascii="Consolas" w:hAnsi="Consolas" w:cs="Consolas"/>
                <w:b/>
                <w:bCs/>
                <w:color w:val="1c1b20"/>
                <w:sz w:val="26"/>
                <w:szCs w:val="26"/>
              </w:rPr>
              <w:t xml:space="preserve">11 ans</w:t>
            </w:r>
          </w:p>
          <w:p>
            <w:pPr>
              <w:spacing w:before="0" w:after="0" w:line="252" w:lineRule="auto"/>
            </w:pPr>
            <w:r>
              <w:rPr>
                <w:rFonts w:ascii="Calibri" w:hAnsi="Calibri" w:cs="Calibri"/>
                <w:color w:val="5B5866"/>
                <w:sz w:val="15"/>
                <w:szCs w:val="15"/>
              </w:rPr>
              <w:t xml:space="preserve">production bancaire critique</w:t>
            </w:r>
          </w:p>
        </w:tc>
        <w:tc>
          <w:tcPr>
            <w:tcW w:w="60" w:type="dxa"/>
            <w:tcMar>
              <w:top w:w="80" w:type="dxa"/>
              <w:left w:w="120" w:type="dxa"/>
              <w:bottom w:w="80" w:type="dxa"/>
              <w:right w:w="120" w:type="dxa"/>
            </w:tcMar>
          </w:tcPr>
          <w:p>
            <w:pPr>
              <w:spacing w:before="0" w:after="60" w:line="252" w:lineRule="auto"/>
            </w:pPr>
          </w:p>
        </w:tc>
        <w:tc>
          <w:tcPr>
            <w:tcW w:w="2666" w:type="dxa"/>
            <w:tcBorders>
              <w:top w:val="single" w:sz="24" w:space="0" w:color="A86F9F"/>
              <w:left w:val="single" w:sz="4" w:space="0" w:color="cac4d2"/>
              <w:bottom w:val="single" w:sz="4" w:space="0" w:color="cac4d2"/>
              <w:right w:val="single" w:sz="4" w:space="0" w:color="cac4d2"/>
            </w:tcBorders>
            <w:tcMar>
              <w:top w:w="140" w:type="dxa"/>
              <w:left w:w="160" w:type="dxa"/>
              <w:bottom w:w="140" w:type="dxa"/>
              <w:right w:w="160" w:type="dxa"/>
            </w:tcMar>
          </w:tcPr>
          <w:p>
            <w:pPr>
              <w:spacing w:before="0" w:after="20" w:line="252" w:lineRule="auto"/>
            </w:pPr>
            <w:r>
              <w:rPr>
                <w:rFonts w:ascii="Consolas" w:hAnsi="Consolas" w:cs="Consolas"/>
                <w:b/>
                <w:bCs/>
                <w:color w:val="1c1b20"/>
                <w:sz w:val="26"/>
                <w:szCs w:val="26"/>
              </w:rPr>
              <w:t xml:space="preserve">20 600 tests</w:t>
            </w:r>
          </w:p>
          <w:p>
            <w:pPr>
              <w:spacing w:before="0" w:after="0" w:line="252" w:lineRule="auto"/>
            </w:pPr>
            <w:r>
              <w:rPr>
                <w:rFonts w:ascii="Calibri" w:hAnsi="Calibri" w:cs="Calibri"/>
                <w:color w:val="5B5866"/>
                <w:sz w:val="15"/>
                <w:szCs w:val="15"/>
              </w:rPr>
              <w:t xml:space="preserve">sur un SaaS que j'exploite : paiement, agrégation bancaire</w:t>
            </w:r>
          </w:p>
        </w:tc>
        <w:tc>
          <w:tcPr>
            <w:tcW w:w="60" w:type="dxa"/>
            <w:tcMar>
              <w:top w:w="80" w:type="dxa"/>
              <w:left w:w="120" w:type="dxa"/>
              <w:bottom w:w="80" w:type="dxa"/>
              <w:right w:w="120" w:type="dxa"/>
            </w:tcMar>
          </w:tcPr>
          <w:p>
            <w:pPr>
              <w:spacing w:before="0" w:after="60" w:line="252" w:lineRule="auto"/>
            </w:pPr>
          </w:p>
        </w:tc>
        <w:tc>
          <w:tcPr>
            <w:tcW w:w="2666" w:type="dxa"/>
            <w:tcBorders>
              <w:top w:val="single" w:sz="24" w:space="0" w:color="6866A7"/>
              <w:left w:val="single" w:sz="4" w:space="0" w:color="cac4d2"/>
              <w:bottom w:val="single" w:sz="4" w:space="0" w:color="cac4d2"/>
              <w:right w:val="single" w:sz="4" w:space="0" w:color="cac4d2"/>
            </w:tcBorders>
            <w:tcMar>
              <w:top w:w="140" w:type="dxa"/>
              <w:left w:w="160" w:type="dxa"/>
              <w:bottom w:w="140" w:type="dxa"/>
              <w:right w:w="160" w:type="dxa"/>
            </w:tcMar>
          </w:tcPr>
          <w:p>
            <w:pPr>
              <w:spacing w:before="0" w:after="20" w:line="252" w:lineRule="auto"/>
            </w:pPr>
            <w:r>
              <w:rPr>
                <w:rFonts w:ascii="Consolas" w:hAnsi="Consolas" w:cs="Consolas"/>
                <w:b/>
                <w:bCs/>
                <w:color w:val="1c1b20"/>
                <w:sz w:val="26"/>
                <w:szCs w:val="26"/>
              </w:rPr>
              <w:t xml:space="preserve">~1 200 serveurs</w:t>
            </w:r>
          </w:p>
          <w:p>
            <w:pPr>
              <w:spacing w:before="0" w:after="0" w:line="252" w:lineRule="auto"/>
            </w:pPr>
            <w:r>
              <w:rPr>
                <w:rFonts w:ascii="Calibri" w:hAnsi="Calibri" w:cs="Calibri"/>
                <w:color w:val="5B5866"/>
                <w:sz w:val="15"/>
                <w:szCs w:val="15"/>
              </w:rPr>
              <w:t xml:space="preserve">service de consultation des logs, grand compte</w:t>
            </w:r>
          </w:p>
        </w:tc>
        <w:tc>
          <w:tcPr>
            <w:tcW w:w="60" w:type="dxa"/>
            <w:tcMar>
              <w:top w:w="80" w:type="dxa"/>
              <w:left w:w="120" w:type="dxa"/>
              <w:bottom w:w="80" w:type="dxa"/>
              <w:right w:w="120" w:type="dxa"/>
            </w:tcMar>
          </w:tcPr>
          <w:p>
            <w:pPr>
              <w:spacing w:before="0" w:after="60" w:line="252" w:lineRule="auto"/>
            </w:pPr>
          </w:p>
        </w:tc>
        <w:tc>
          <w:tcPr>
            <w:tcW w:w="2666" w:type="dxa"/>
            <w:tcBorders>
              <w:top w:val="single" w:sz="24" w:space="0" w:color="A86F9F"/>
              <w:left w:val="single" w:sz="4" w:space="0" w:color="cac4d2"/>
              <w:bottom w:val="single" w:sz="4" w:space="0" w:color="cac4d2"/>
              <w:right w:val="single" w:sz="4" w:space="0" w:color="cac4d2"/>
            </w:tcBorders>
            <w:tcMar>
              <w:top w:w="140" w:type="dxa"/>
              <w:left w:w="160" w:type="dxa"/>
              <w:bottom w:w="140" w:type="dxa"/>
              <w:right w:w="160" w:type="dxa"/>
            </w:tcMar>
          </w:tcPr>
          <w:p>
            <w:pPr>
              <w:spacing w:before="0" w:after="20" w:line="252" w:lineRule="auto"/>
            </w:pPr>
            <w:r>
              <w:rPr>
                <w:rFonts w:ascii="Consolas" w:hAnsi="Consolas" w:cs="Consolas"/>
                <w:b/>
                <w:bCs/>
                <w:color w:val="1c1b20"/>
                <w:sz w:val="26"/>
                <w:szCs w:val="26"/>
              </w:rPr>
              <w:t xml:space="preserve">1 standard</w:t>
            </w:r>
          </w:p>
          <w:p>
            <w:pPr>
              <w:spacing w:before="0" w:after="0" w:line="252" w:lineRule="auto"/>
            </w:pPr>
            <w:r>
              <w:rPr>
                <w:rFonts w:ascii="Calibri" w:hAnsi="Calibri" w:cs="Calibri"/>
                <w:color w:val="5B5866"/>
                <w:sz w:val="15"/>
                <w:szCs w:val="15"/>
              </w:rPr>
              <w:t xml:space="preserve">stack Apache portable RHEL 6 → 9.5, adoptée en production</w:t>
            </w:r>
          </w:p>
        </w:tc>
      </w:tr>
    </w:tbl>
    <w:p>
      <w:pPr>
        <w:keepNext/>
        <w:keepLines/>
        <w:spacing w:before="90" w:after="80" w:line="252" w:lineRule="auto"/>
      </w:pPr>
      <w:r>
        <w:rPr>
          <w:rFonts w:ascii="Consolas" w:hAnsi="Consolas" w:cs="Consolas"/>
          <w:b/>
          <w:bCs/>
          <w:color w:val="9775BA"/>
          <w:sz w:val="18"/>
          <w:szCs w:val="18"/>
        </w:rPr>
        <w:t xml:space="preserve">// </w:t>
      </w:r>
      <w:r>
        <w:rPr>
          <w:rFonts w:ascii="Consolas" w:hAnsi="Consolas" w:cs="Consolas"/>
          <w:b/>
          <w:bCs/>
          <w:color w:val="7a68b4"/>
          <w:spacing w:val="16"/>
          <w:sz w:val="18"/>
          <w:szCs w:val="18"/>
        </w:rPr>
        <w:t xml:space="preserve">EXPÉRIENCES</w:t>
      </w:r>
    </w:p>
    <w:p>
      <w:pPr>
        <w:keepNext/>
        <w:keepLines/>
        <w:tabs>
          <w:tab w:val="right" w:pos="10906"/>
        </w:tabs>
        <w:spacing w:before="110" w:after="30" w:line="252" w:lineRule="auto"/>
      </w:pPr>
      <w:r>
        <w:rPr>
          <w:rFonts w:ascii="Calibri" w:hAnsi="Calibri" w:cs="Calibri"/>
          <w:b/>
          <w:bCs/>
          <w:color w:val="1c1b20"/>
          <w:sz w:val="22"/>
          <w:szCs w:val="22"/>
        </w:rPr>
        <w:t xml:space="preserve">CS Consulting</w:t>
      </w:r>
      <w:r>
        <w:rPr>
          <w:rFonts w:ascii="Calibri" w:hAnsi="Calibri" w:cs="Calibri"/>
          <w:sz w:val="19"/>
          <w:szCs w:val="19"/>
        </w:rPr>
        <w:tab/>
      </w:r>
      <w:r>
        <w:rPr>
          <w:rFonts w:ascii="Consolas" w:hAnsi="Consolas" w:cs="Consolas"/>
          <w:color w:val="A86F9F"/>
          <w:sz w:val="16"/>
          <w:szCs w:val="16"/>
        </w:rPr>
        <w:t xml:space="preserve">févr. 2020 → aujourd'hui</w:t>
      </w:r>
    </w:p>
    <w:p>
      <w:pPr>
        <w:keepNext/>
        <w:keepLines/>
        <w:spacing w:before="0" w:after="30" w:line="252" w:lineRule="auto"/>
      </w:pPr>
      <w:r>
        <w:rPr>
          <w:rFonts w:ascii="Calibri" w:hAnsi="Calibri" w:cs="Calibri"/>
          <w:b/>
          <w:bCs/>
          <w:color w:val="6866A7"/>
          <w:sz w:val="18"/>
          <w:szCs w:val="18"/>
        </w:rPr>
        <w:t xml:space="preserve">Ingénieur DevOps &amp; Plateforme — Fondateur</w:t>
      </w:r>
      <w:r>
        <w:rPr>
          <w:rFonts w:ascii="Calibri" w:hAnsi="Calibri" w:cs="Calibri"/>
          <w:color w:val="7C7889"/>
          <w:sz w:val="18"/>
          <w:szCs w:val="18"/>
        </w:rPr>
        <w:t xml:space="preserve"> · Paris · hybride · indépendant</w:t>
      </w:r>
    </w:p>
    <w:p>
      <w:pPr>
        <w:spacing w:before="0" w:after="50" w:line="252" w:lineRule="auto"/>
      </w:pPr>
      <w:r>
        <w:rPr>
          <w:rFonts w:ascii="Calibri" w:hAnsi="Calibri" w:cs="Calibri"/>
          <w:color w:val="5B5866"/>
          <w:sz w:val="17"/>
          <w:szCs w:val="17"/>
        </w:rPr>
        <w:t xml:space="preserve">Ma structure : je conçois et j'exploite des produits de bout en bout — architecture, spécification, mise en production, exploitation, support. Auto-entrepreneur en 2020, EURL en 2023.</w:t>
      </w:r>
    </w:p>
    <w:p>
      <w:pPr>
        <w:spacing w:before="0" w:after="24" w:line="232" w:lineRule="auto"/>
        <w:ind w:left="227" w:hanging="142"/>
      </w:pPr>
      <w:r>
        <w:rPr>
          <w:rFonts w:ascii="Calibri" w:hAnsi="Calibri" w:cs="Calibri"/>
          <w:color w:val="6866A7"/>
          <w:sz w:val="19"/>
          <w:szCs w:val="19"/>
        </w:rPr>
        <w:t xml:space="preserve">• </w:t>
      </w:r>
      <w:r>
        <w:rPr>
          <w:rFonts w:ascii="Calibri" w:hAnsi="Calibri" w:cs="Calibri"/>
          <w:b/>
          <w:bCs/>
          <w:color w:val="484550"/>
          <w:sz w:val="18"/>
          <w:szCs w:val="18"/>
        </w:rPr>
        <w:t xml:space="preserve">Du papier carbone au SaaS multi-tenant</w:t>
      </w:r>
      <w:r>
        <w:rPr>
          <w:rFonts w:ascii="Calibri" w:hAnsi="Calibri" w:cs="Calibri"/>
          <w:color w:val="484550"/>
          <w:sz w:val="18"/>
          <w:szCs w:val="18"/>
        </w:rPr>
        <w:t xml:space="preserve"> : Astre Solutions gérait ses bons de commande et de livraison sur papier carbone, en double exemplaire. Je leur ai livré un outil de génération documentaire macOS, synchronisé et sauvegardé hors site. Le même client m'a ensuite confié l'automatisation des CERFA fluides frigorigènes pour Co&amp;Sta, puis le CRM, le planning, les techniciens — c'est devenu </w:t>
      </w:r>
      <w:r>
        <w:rPr>
          <w:rFonts w:ascii="Calibri" w:hAnsi="Calibri" w:cs="Calibri"/>
          <w:b/>
          <w:bCs/>
          <w:color w:val="484550"/>
          <w:sz w:val="18"/>
          <w:szCs w:val="18"/>
        </w:rPr>
        <w:t xml:space="preserve">Norteo</w:t>
      </w:r>
      <w:r>
        <w:rPr>
          <w:rFonts w:ascii="Calibri" w:hAnsi="Calibri" w:cs="Calibri"/>
          <w:color w:val="484550"/>
          <w:sz w:val="18"/>
          <w:szCs w:val="18"/>
        </w:rPr>
        <w:t xml:space="preserve">, aujourd'hui proposé à d'autres frigoristes avec son accord.</w:t>
      </w:r>
    </w:p>
    <w:p>
      <w:pPr>
        <w:spacing w:before="0" w:after="24" w:line="232" w:lineRule="auto"/>
        <w:ind w:left="227" w:hanging="142"/>
      </w:pPr>
      <w:r>
        <w:rPr>
          <w:rFonts w:ascii="Calibri" w:hAnsi="Calibri" w:cs="Calibri"/>
          <w:color w:val="6866A7"/>
          <w:sz w:val="19"/>
          <w:szCs w:val="19"/>
        </w:rPr>
        <w:t xml:space="preserve">• </w:t>
      </w:r>
      <w:r>
        <w:rPr>
          <w:rFonts w:ascii="Calibri" w:hAnsi="Calibri" w:cs="Calibri"/>
          <w:b/>
          <w:bCs/>
          <w:color w:val="484550"/>
          <w:sz w:val="18"/>
          <w:szCs w:val="18"/>
        </w:rPr>
        <w:t xml:space="preserve">Norteo</w:t>
      </w:r>
      <w:r>
        <w:rPr>
          <w:rFonts w:ascii="Calibri" w:hAnsi="Calibri" w:cs="Calibri"/>
          <w:color w:val="484550"/>
          <w:sz w:val="18"/>
          <w:szCs w:val="18"/>
        </w:rPr>
        <w:t xml:space="preserve">, SaaS de gestion multi-métier que je conçois et exploite : 15 métiers, 70 modèles de données, architecture multi-instance en marque blanche, isolation multi-tenant par JWT, MFA TOTP. Abonnements Stripe, agrégation bancaire via Bridge API v3 (agrégateur agréé DSP2) avec rapprochement automatique des paiements. Documents réglementaires générés : CERFA 15497, export SYDEREP.</w:t>
      </w:r>
    </w:p>
    <w:p>
      <w:pPr>
        <w:spacing w:before="0" w:after="24" w:line="232" w:lineRule="auto"/>
        <w:ind w:left="227" w:hanging="142"/>
      </w:pPr>
      <w:r>
        <w:rPr>
          <w:rFonts w:ascii="Calibri" w:hAnsi="Calibri" w:cs="Calibri"/>
          <w:color w:val="6866A7"/>
          <w:sz w:val="19"/>
          <w:szCs w:val="19"/>
        </w:rPr>
        <w:t xml:space="preserve">• </w:t>
      </w:r>
      <w:r>
        <w:rPr>
          <w:rFonts w:ascii="Calibri" w:hAnsi="Calibri" w:cs="Calibri"/>
          <w:color w:val="484550"/>
          <w:sz w:val="18"/>
          <w:szCs w:val="18"/>
        </w:rPr>
        <w:t xml:space="preserve">Ce qui tient l'ensemble : </w:t>
      </w:r>
      <w:r>
        <w:rPr>
          <w:rFonts w:ascii="Calibri" w:hAnsi="Calibri" w:cs="Calibri"/>
          <w:b/>
          <w:bCs/>
          <w:color w:val="484550"/>
          <w:sz w:val="18"/>
          <w:szCs w:val="18"/>
        </w:rPr>
        <w:t xml:space="preserve">20 600 tests automatisés</w:t>
      </w:r>
      <w:r>
        <w:rPr>
          <w:rFonts w:ascii="Calibri" w:hAnsi="Calibri" w:cs="Calibri"/>
          <w:color w:val="484550"/>
          <w:sz w:val="18"/>
          <w:szCs w:val="18"/>
        </w:rPr>
        <w:t xml:space="preserve"> — 19 000 unitaires (Vitest), 1 300 de bout en bout (Playwright) — porte qualité SonarQube bloquante avant le build, analyse statique de sécurité, détection de secrets et de vulnérabilités en intégration continue. Ces produits portent des chemins où circule de l'argent : je ne conçois pas mon métier comme écrire du code, mais comme </w:t>
      </w:r>
      <w:r>
        <w:rPr>
          <w:rFonts w:ascii="Calibri" w:hAnsi="Calibri" w:cs="Calibri"/>
          <w:b/>
          <w:bCs/>
          <w:color w:val="484550"/>
          <w:sz w:val="18"/>
          <w:szCs w:val="18"/>
        </w:rPr>
        <w:t xml:space="preserve">spécifier ce qui doit être vrai et construire la preuve que ça l'est</w:t>
      </w:r>
      <w:r>
        <w:rPr>
          <w:rFonts w:ascii="Calibri" w:hAnsi="Calibri" w:cs="Calibri"/>
          <w:color w:val="484550"/>
          <w:sz w:val="18"/>
          <w:szCs w:val="18"/>
        </w:rPr>
        <w:t xml:space="preserve">.</w:t>
      </w:r>
    </w:p>
    <w:p>
      <w:pPr>
        <w:keepNext/>
        <w:keepLines/>
        <w:tabs>
          <w:tab w:val="right" w:pos="10906"/>
        </w:tabs>
        <w:spacing w:before="110" w:after="30" w:line="252" w:lineRule="auto"/>
      </w:pPr>
      <w:r>
        <w:rPr>
          <w:rFonts w:ascii="Calibri" w:hAnsi="Calibri" w:cs="Calibri"/>
          <w:b/>
          <w:bCs/>
          <w:color w:val="1c1b20"/>
          <w:sz w:val="22"/>
          <w:szCs w:val="22"/>
        </w:rPr>
        <w:t xml:space="preserve">BPCE IT</w:t>
      </w:r>
      <w:r>
        <w:rPr>
          <w:rFonts w:ascii="Calibri" w:hAnsi="Calibri" w:cs="Calibri"/>
          <w:sz w:val="19"/>
          <w:szCs w:val="19"/>
        </w:rPr>
        <w:tab/>
      </w:r>
      <w:r>
        <w:rPr>
          <w:rFonts w:ascii="Consolas" w:hAnsi="Consolas" w:cs="Consolas"/>
          <w:color w:val="A86F9F"/>
          <w:sz w:val="16"/>
          <w:szCs w:val="16"/>
        </w:rPr>
        <w:t xml:space="preserve">nov. 2024 → aujourd'hui</w:t>
      </w:r>
    </w:p>
    <w:p>
      <w:pPr>
        <w:keepNext/>
        <w:keepLines/>
        <w:spacing w:before="0" w:after="30" w:line="252" w:lineRule="auto"/>
      </w:pPr>
      <w:r>
        <w:rPr>
          <w:rFonts w:ascii="Calibri" w:hAnsi="Calibri" w:cs="Calibri"/>
          <w:b/>
          <w:bCs/>
          <w:color w:val="6866A7"/>
          <w:sz w:val="18"/>
          <w:szCs w:val="18"/>
        </w:rPr>
        <w:t xml:space="preserve">Ingénieur DevOps Build &amp; Intégration</w:t>
      </w:r>
      <w:r>
        <w:rPr>
          <w:rFonts w:ascii="Calibri" w:hAnsi="Calibri" w:cs="Calibri"/>
          <w:color w:val="7C7889"/>
          <w:sz w:val="18"/>
          <w:szCs w:val="18"/>
        </w:rPr>
        <w:t xml:space="preserve"> · Paris · hybride · freelance</w:t>
      </w:r>
    </w:p>
    <w:p>
      <w:pPr>
        <w:spacing w:before="0" w:after="50" w:line="252" w:lineRule="auto"/>
      </w:pPr>
      <w:r>
        <w:rPr>
          <w:rFonts w:ascii="Calibri" w:hAnsi="Calibri" w:cs="Calibri"/>
          <w:color w:val="5B5866"/>
          <w:sz w:val="17"/>
          <w:szCs w:val="17"/>
        </w:rPr>
        <w:t xml:space="preserve">Porter le pilote groupe de la plateforme d'automatisation, et transformer un outil interne abandonné en service généralisé.</w:t>
      </w:r>
    </w:p>
    <w:p>
      <w:pPr>
        <w:spacing w:before="0" w:after="24" w:line="232" w:lineRule="auto"/>
        <w:ind w:left="227" w:hanging="142"/>
      </w:pPr>
      <w:r>
        <w:rPr>
          <w:rFonts w:ascii="Calibri" w:hAnsi="Calibri" w:cs="Calibri"/>
          <w:color w:val="6866A7"/>
          <w:sz w:val="19"/>
          <w:szCs w:val="19"/>
        </w:rPr>
        <w:t xml:space="preserve">• </w:t>
      </w:r>
      <w:r>
        <w:rPr>
          <w:rFonts w:ascii="Calibri" w:hAnsi="Calibri" w:cs="Calibri"/>
          <w:b/>
          <w:bCs/>
          <w:color w:val="484550"/>
          <w:sz w:val="18"/>
          <w:szCs w:val="18"/>
        </w:rPr>
        <w:t xml:space="preserve">Pilote groupe Ansible Automation Platform</w:t>
      </w:r>
      <w:r>
        <w:rPr>
          <w:rFonts w:ascii="Calibri" w:hAnsi="Calibri" w:cs="Calibri"/>
          <w:color w:val="484550"/>
          <w:sz w:val="18"/>
          <w:szCs w:val="18"/>
        </w:rPr>
        <w:t xml:space="preserve"> : premier périmètre de production applicative du groupe à recevoir la plateforme, livrée nue. Modèle d'habilitation instruit (comptes, niveaux de privilège) et normes d'usage définies — nomenclatures, granularité de déploiement par groupe, par type de serveur ou par environnement complet. Inventaire construit dynamiquement depuis la CMDB et enrichi des variables consommées par les playbooks : il découle de la source de vérité au lieu d'être tenu à la main. Standards présentés en CODIR, puis transmis à une seconde production applicative que j'ai formée. Même principe d'inventaire pour les keystores et truststores JKS.</w:t>
      </w:r>
    </w:p>
    <w:p>
      <w:pPr>
        <w:spacing w:before="0" w:after="24" w:line="232" w:lineRule="auto"/>
        <w:ind w:left="227" w:hanging="142"/>
      </w:pPr>
      <w:r>
        <w:rPr>
          <w:rFonts w:ascii="Calibri" w:hAnsi="Calibri" w:cs="Calibri"/>
          <w:color w:val="6866A7"/>
          <w:sz w:val="19"/>
          <w:szCs w:val="19"/>
        </w:rPr>
        <w:t xml:space="preserve">• </w:t>
      </w:r>
      <w:r>
        <w:rPr>
          <w:rFonts w:ascii="Calibri" w:hAnsi="Calibri" w:cs="Calibri"/>
          <w:b/>
          <w:bCs/>
          <w:color w:val="484550"/>
          <w:sz w:val="18"/>
          <w:szCs w:val="18"/>
        </w:rPr>
        <w:t xml:space="preserve">Un terminal, une source de vérité</w:t>
      </w:r>
      <w:r>
        <w:rPr>
          <w:rFonts w:ascii="Calibri" w:hAnsi="Calibri" w:cs="Calibri"/>
          <w:color w:val="484550"/>
          <w:sz w:val="18"/>
          <w:szCs w:val="18"/>
        </w:rPr>
        <w:t xml:space="preserve"> : deux cents personnes, DSI et production, ouvraient chaque jour des sessions SSH et RDP sur plus de 1 600 serveurs sans aucun standard — chacun tenait son carnet de connexions, hérité d'exports périmés, à corriger à chaque VM créée ou décommissionnée. J'ai remplacé la saisie par la génération : un rôle Ansible interroge la CMDB trois fois par jour, filtre selon les habilitations de chaque équipe, enrichit chaque hôte de sa chaîne de connexion par le bastion CyberArk et publie un dossier dynamique Royal TS qui se recharge seul. Plus une connexion tenue à la main, </w:t>
      </w:r>
      <w:r>
        <w:rPr>
          <w:rFonts w:ascii="Calibri" w:hAnsi="Calibri" w:cs="Calibri"/>
          <w:b/>
          <w:bCs/>
          <w:color w:val="484550"/>
          <w:sz w:val="18"/>
          <w:szCs w:val="18"/>
        </w:rPr>
        <w:t xml:space="preserve">1 700 serveurs traités en 18 secondes</w:t>
      </w:r>
      <w:r>
        <w:rPr>
          <w:rFonts w:ascii="Calibri" w:hAnsi="Calibri" w:cs="Calibri"/>
          <w:color w:val="484550"/>
          <w:sz w:val="18"/>
          <w:szCs w:val="18"/>
        </w:rPr>
        <w:t xml:space="preserve">, un arrivant opérationnel le premier jour. Présenté en CODIR, approuvé, en usage quotidien.</w:t>
      </w:r>
    </w:p>
    <w:p>
      <w:pPr>
        <w:spacing w:before="0" w:after="24" w:line="232" w:lineRule="auto"/>
        <w:ind w:left="227" w:hanging="142"/>
      </w:pPr>
      <w:r>
        <w:rPr>
          <w:rFonts w:ascii="Calibri" w:hAnsi="Calibri" w:cs="Calibri"/>
          <w:color w:val="6866A7"/>
          <w:sz w:val="19"/>
          <w:szCs w:val="19"/>
        </w:rPr>
        <w:t xml:space="preserve">• </w:t>
      </w:r>
      <w:r>
        <w:rPr>
          <w:rFonts w:ascii="Calibri" w:hAnsi="Calibri" w:cs="Calibri"/>
          <w:b/>
          <w:bCs/>
          <w:color w:val="484550"/>
          <w:sz w:val="18"/>
          <w:szCs w:val="18"/>
        </w:rPr>
        <w:t xml:space="preserve">Les logs aux développeurs, sans leur donner la production</w:t>
      </w:r>
      <w:r>
        <w:rPr>
          <w:rFonts w:ascii="Calibri" w:hAnsi="Calibri" w:cs="Calibri"/>
          <w:color w:val="484550"/>
          <w:sz w:val="18"/>
          <w:szCs w:val="18"/>
        </w:rPr>
        <w:t xml:space="preserve"> : l'accès SSH est interdit en production aux équipes de développement — donc aucune consultation autonome d'un log applicatif, et des délais de résolution allongés à chaque incident. J'ai repris un outil périmé, non maintenu et non sécurisé pour en faire un service de consultation en libre-service : une instance par serveur, une URL dédiée, authentification LDAP/Kerberos, consultation et téléchargement par navigateur. La friction disparaît, la frontière de sécurité reste intacte. </w:t>
      </w:r>
      <w:r>
        <w:rPr>
          <w:rFonts w:ascii="Calibri" w:hAnsi="Calibri" w:cs="Calibri"/>
          <w:b/>
          <w:bCs/>
          <w:color w:val="484550"/>
          <w:sz w:val="18"/>
          <w:szCs w:val="18"/>
        </w:rPr>
        <w:t xml:space="preserve">Déployé sur ~1 200 serveurs</w:t>
      </w:r>
      <w:r>
        <w:rPr>
          <w:rFonts w:ascii="Calibri" w:hAnsi="Calibri" w:cs="Calibri"/>
          <w:color w:val="484550"/>
          <w:sz w:val="18"/>
          <w:szCs w:val="18"/>
        </w:rPr>
        <w:t xml:space="preserve">, adopté par l'ensemble des quinze DSI métier de la branche et utilisé par environ 200 personnes, DSI métier et exploitation confondues ; présenté en CODIR, à l'étude comme produit groupe.</w:t>
      </w:r>
    </w:p>
    <w:p>
      <w:pPr>
        <w:spacing w:before="0" w:after="24" w:line="232" w:lineRule="auto"/>
        <w:ind w:left="227" w:hanging="142"/>
      </w:pPr>
      <w:r>
        <w:rPr>
          <w:rFonts w:ascii="Calibri" w:hAnsi="Calibri" w:cs="Calibri"/>
          <w:color w:val="6866A7"/>
          <w:sz w:val="19"/>
          <w:szCs w:val="19"/>
        </w:rPr>
        <w:t xml:space="preserve">• </w:t>
      </w:r>
      <w:r>
        <w:rPr>
          <w:rFonts w:ascii="Calibri" w:hAnsi="Calibri" w:cs="Calibri"/>
          <w:b/>
          <w:bCs/>
          <w:color w:val="484550"/>
          <w:sz w:val="18"/>
          <w:szCs w:val="18"/>
        </w:rPr>
        <w:t xml:space="preserve">Ce qui rend le déploiement possible</w:t>
      </w:r>
      <w:r>
        <w:rPr>
          <w:rFonts w:ascii="Calibri" w:hAnsi="Calibri" w:cs="Calibri"/>
          <w:color w:val="484550"/>
          <w:sz w:val="18"/>
          <w:szCs w:val="18"/>
        </w:rPr>
        <w:t xml:space="preserve"> : stack Apache compilée de bout en bout — Apache, APR, OpenSSL, OpenLDAP, Expat — sans aucune dépendance système, exécutable sans privilège root, de RHEL 6 à RHEL 9.5. Elle s'installe sur un Red Hat nu, cohabite avec un Apache ou un JBoss existant et survit à une montée de version d'OS — </w:t>
      </w:r>
      <w:r>
        <w:rPr>
          <w:rFonts w:ascii="Calibri" w:hAnsi="Calibri" w:cs="Calibri"/>
          <w:b/>
          <w:bCs/>
          <w:color w:val="484550"/>
          <w:sz w:val="18"/>
          <w:szCs w:val="18"/>
        </w:rPr>
        <w:t xml:space="preserve">adoptée comme standard de production</w:t>
      </w:r>
      <w:r>
        <w:rPr>
          <w:rFonts w:ascii="Calibri" w:hAnsi="Calibri" w:cs="Calibri"/>
          <w:color w:val="484550"/>
          <w:sz w:val="18"/>
          <w:szCs w:val="18"/>
        </w:rPr>
        <w:t xml:space="preserve">. Chaîne de livraison Bitbucket → Jenkins → Artifactory → XL Deploy.</w:t>
      </w:r>
    </w:p>
    <w:p>
      <w:pPr>
        <w:spacing w:before="0" w:after="24" w:line="232" w:lineRule="auto"/>
        <w:ind w:left="227" w:hanging="142"/>
      </w:pPr>
      <w:r>
        <w:rPr>
          <w:rFonts w:ascii="Calibri" w:hAnsi="Calibri" w:cs="Calibri"/>
          <w:color w:val="6866A7"/>
          <w:sz w:val="19"/>
          <w:szCs w:val="19"/>
        </w:rPr>
        <w:t xml:space="preserve">• </w:t>
      </w:r>
      <w:r>
        <w:rPr>
          <w:rFonts w:ascii="Calibri" w:hAnsi="Calibri" w:cs="Calibri"/>
          <w:color w:val="484550"/>
          <w:sz w:val="18"/>
          <w:szCs w:val="18"/>
        </w:rPr>
        <w:t xml:space="preserve">Run quotidien, astreintes 24/7, référent d'un pôle applicatif auprès des DSIM ; formation de l'équipe, supports et parcours d'onboarding.</w:t>
      </w:r>
    </w:p>
    <w:p>
      <w:pPr>
        <w:keepNext/>
        <w:keepLines/>
        <w:tabs>
          <w:tab w:val="right" w:pos="10906"/>
        </w:tabs>
        <w:spacing w:before="110" w:after="30" w:line="252" w:lineRule="auto"/>
      </w:pPr>
      <w:r>
        <w:rPr>
          <w:rFonts w:ascii="Calibri" w:hAnsi="Calibri" w:cs="Calibri"/>
          <w:b/>
          <w:bCs/>
          <w:color w:val="1c1b20"/>
          <w:sz w:val="22"/>
          <w:szCs w:val="22"/>
        </w:rPr>
        <w:t xml:space="preserve">Amundi</w:t>
      </w:r>
      <w:r>
        <w:rPr>
          <w:rFonts w:ascii="Calibri" w:hAnsi="Calibri" w:cs="Calibri"/>
          <w:sz w:val="19"/>
          <w:szCs w:val="19"/>
        </w:rPr>
        <w:tab/>
      </w:r>
      <w:r>
        <w:rPr>
          <w:rFonts w:ascii="Consolas" w:hAnsi="Consolas" w:cs="Consolas"/>
          <w:color w:val="A86F9F"/>
          <w:sz w:val="16"/>
          <w:szCs w:val="16"/>
        </w:rPr>
        <w:t xml:space="preserve">janv. 2022 → oct. 2024</w:t>
      </w:r>
    </w:p>
    <w:p>
      <w:pPr>
        <w:keepNext/>
        <w:keepLines/>
        <w:spacing w:before="0" w:after="30" w:line="252" w:lineRule="auto"/>
      </w:pPr>
      <w:r>
        <w:rPr>
          <w:rFonts w:ascii="Calibri" w:hAnsi="Calibri" w:cs="Calibri"/>
          <w:b/>
          <w:bCs/>
          <w:color w:val="6866A7"/>
          <w:sz w:val="18"/>
          <w:szCs w:val="18"/>
        </w:rPr>
        <w:t xml:space="preserve">Ingénieur DevOps — référent applicatif, lead technique adjoint</w:t>
      </w:r>
      <w:r>
        <w:rPr>
          <w:rFonts w:ascii="Calibri" w:hAnsi="Calibri" w:cs="Calibri"/>
          <w:color w:val="7C7889"/>
          <w:sz w:val="18"/>
          <w:szCs w:val="18"/>
        </w:rPr>
        <w:t xml:space="preserve"> · Paris · hybride · freelance</w:t>
      </w:r>
    </w:p>
    <w:p>
      <w:pPr>
        <w:spacing w:before="0" w:after="50" w:line="252" w:lineRule="auto"/>
      </w:pPr>
      <w:r>
        <w:rPr>
          <w:rFonts w:ascii="Calibri" w:hAnsi="Calibri" w:cs="Calibri"/>
          <w:color w:val="5B5866"/>
          <w:sz w:val="17"/>
          <w:szCs w:val="17"/>
        </w:rPr>
        <w:t xml:space="preserve">Périmètre applicatif d'une direction financière : quatre à cinq progiciels, interlocuteurs métier côté demande, appui direct du team leader.</w:t>
      </w:r>
    </w:p>
    <w:p>
      <w:pPr>
        <w:spacing w:before="0" w:after="24" w:line="232" w:lineRule="auto"/>
        <w:ind w:left="227" w:hanging="142"/>
      </w:pPr>
      <w:r>
        <w:rPr>
          <w:rFonts w:ascii="Calibri" w:hAnsi="Calibri" w:cs="Calibri"/>
          <w:color w:val="6866A7"/>
          <w:sz w:val="19"/>
          <w:szCs w:val="19"/>
        </w:rPr>
        <w:t xml:space="preserve">• </w:t>
      </w:r>
      <w:r>
        <w:rPr>
          <w:rFonts w:ascii="Calibri" w:hAnsi="Calibri" w:cs="Calibri"/>
          <w:b/>
          <w:bCs/>
          <w:color w:val="484550"/>
          <w:sz w:val="18"/>
          <w:szCs w:val="18"/>
        </w:rPr>
        <w:t xml:space="preserve">Migration SAS de bout en bout</w:t>
      </w:r>
      <w:r>
        <w:rPr>
          <w:rFonts w:ascii="Calibri" w:hAnsi="Calibri" w:cs="Calibri"/>
          <w:color w:val="484550"/>
          <w:sz w:val="18"/>
          <w:szCs w:val="18"/>
        </w:rPr>
        <w:t xml:space="preserve"> : outil d'analyse stratégique en fin de support — sans montée de version, la direction financière le perdait. Six mois, du cadrage à la mise en production, avec un consultant de l'éditeur : étude des cibles possibles et dimensionnement avec les équipes infra, cadrage du périmètre métier avec les utilisateurs, provisionnement, installation, raccordements réseau, LDAP et Active Directory, documentation, passation.</w:t>
      </w:r>
    </w:p>
    <w:p>
      <w:pPr>
        <w:spacing w:before="0" w:after="24" w:line="232" w:lineRule="auto"/>
        <w:ind w:left="227" w:hanging="142"/>
      </w:pPr>
      <w:r>
        <w:rPr>
          <w:rFonts w:ascii="Calibri" w:hAnsi="Calibri" w:cs="Calibri"/>
          <w:color w:val="6866A7"/>
          <w:sz w:val="19"/>
          <w:szCs w:val="19"/>
        </w:rPr>
        <w:t xml:space="preserve">• </w:t>
      </w:r>
      <w:r>
        <w:rPr>
          <w:rFonts w:ascii="Calibri" w:hAnsi="Calibri" w:cs="Calibri"/>
          <w:color w:val="484550"/>
          <w:sz w:val="18"/>
          <w:szCs w:val="18"/>
        </w:rPr>
        <w:t xml:space="preserve">Bascule des clusters applicatifs et des bases automatisée lors des PSI : une procédure manuelle devenue </w:t>
      </w:r>
      <w:r>
        <w:rPr>
          <w:rFonts w:ascii="Calibri" w:hAnsi="Calibri" w:cs="Calibri"/>
          <w:b/>
          <w:bCs/>
          <w:color w:val="484550"/>
          <w:sz w:val="18"/>
          <w:szCs w:val="18"/>
        </w:rPr>
        <w:t xml:space="preserve">rejouable à l'identique</w:t>
      </w:r>
      <w:r>
        <w:rPr>
          <w:rFonts w:ascii="Calibri" w:hAnsi="Calibri" w:cs="Calibri"/>
          <w:color w:val="484550"/>
          <w:sz w:val="18"/>
          <w:szCs w:val="18"/>
        </w:rPr>
        <w:t xml:space="preserve">, sans saisie humaine. Déploiements Git → AWX → Ansible et Control-M « as code » (JSON/Jinja2 déployés par playbook). Météo applicative collectée et publiée par la chaîne, au lieu d'être relevée à la main chaque matin.</w:t>
      </w:r>
    </w:p>
    <w:p>
      <w:pPr>
        <w:spacing w:before="0" w:after="24" w:line="232" w:lineRule="auto"/>
        <w:ind w:left="227" w:hanging="142"/>
      </w:pPr>
      <w:r>
        <w:rPr>
          <w:rFonts w:ascii="Calibri" w:hAnsi="Calibri" w:cs="Calibri"/>
          <w:color w:val="6866A7"/>
          <w:sz w:val="19"/>
          <w:szCs w:val="19"/>
        </w:rPr>
        <w:t xml:space="preserve">• </w:t>
      </w:r>
      <w:r>
        <w:rPr>
          <w:rFonts w:ascii="Calibri" w:hAnsi="Calibri" w:cs="Calibri"/>
          <w:color w:val="484550"/>
          <w:sz w:val="18"/>
          <w:szCs w:val="18"/>
        </w:rPr>
        <w:t xml:space="preserve">Migration Oracle Financials &amp; OBIEE de Solaris vers SUSE ; applications portées par une plateforme Rancher Kubernetes pilotée par ArgoCD. Diagnostic des incidents sur l'ensemble du périmètre, en particulier ceux remontés sans élément technique exploitable ; réunions d'équipe animées en anglais ; formation des arrivants et documentation interne.</w:t>
      </w:r>
    </w:p>
    <w:p>
      <w:pPr>
        <w:spacing w:before="60" w:after="120" w:line="252" w:lineRule="auto"/>
      </w:pPr>
      <w:r>
        <w:rPr>
          <w:rFonts w:ascii="Calibri" w:hAnsi="Calibri" w:cs="Calibri"/>
          <w:color w:val="484550"/>
          <w:sz w:val="16"/>
          <w:szCs w:val="16"/>
        </w:rPr>
        <w:t xml:space="preserve">Avant : BPCE Lease (2020 → 2021) — migration vers Azure reprise et livrée seul après le départ du chef de projet · Amundi (2017 → 2020) — analyste d'exploitation · Euler Hermes (2015 → 2017) — technicien d'exploitation &amp; datacenter.</w:t>
      </w:r>
    </w:p>
    <w:p>
      <w:pPr>
        <w:keepNext/>
        <w:keepLines/>
        <w:spacing w:before="90" w:after="80" w:line="252" w:lineRule="auto"/>
      </w:pPr>
      <w:r>
        <w:rPr>
          <w:rFonts w:ascii="Consolas" w:hAnsi="Consolas" w:cs="Consolas"/>
          <w:b/>
          <w:bCs/>
          <w:color w:val="9775BA"/>
          <w:sz w:val="18"/>
          <w:szCs w:val="18"/>
        </w:rPr>
        <w:t xml:space="preserve">// </w:t>
      </w:r>
      <w:r>
        <w:rPr>
          <w:rFonts w:ascii="Consolas" w:hAnsi="Consolas" w:cs="Consolas"/>
          <w:b/>
          <w:bCs/>
          <w:color w:val="7a68b4"/>
          <w:spacing w:val="16"/>
          <w:sz w:val="18"/>
          <w:szCs w:val="18"/>
        </w:rPr>
        <w:t xml:space="preserve">COMPÉTENCES</w:t>
      </w:r>
    </w:p>
    <w:tbl>
      <w:tblPr>
        <w:tblW w:w="109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Pr>
      <w:tblGrid>
        <w:gridCol w:w="5303"/>
        <w:gridCol w:w="300"/>
        <w:gridCol w:w="5303"/>
      </w:tblGrid>
      <w:tr>
        <w:tc>
          <w:tcPr>
            <w:tcW w:w="5303" w:type="dxa"/>
            <w:tcMar>
              <w:top w:w="80" w:type="dxa"/>
              <w:left w:w="120" w:type="dxa"/>
              <w:bottom w:w="80" w:type="dxa"/>
              <w:right w:w="120" w:type="dxa"/>
            </w:tcMar>
          </w:tcPr>
          <w:p>
            <w:pPr>
              <w:keepNext/>
              <w:keepLines/>
              <w:spacing w:before="0" w:after="30" w:line="252" w:lineRule="auto"/>
            </w:pPr>
            <w:r>
              <w:rPr>
                <w:rFonts w:ascii="Calibri" w:hAnsi="Calibri" w:cs="Calibri"/>
                <w:b/>
                <w:bCs/>
                <w:color w:val="1c1b20"/>
                <w:sz w:val="18"/>
                <w:szCs w:val="18"/>
              </w:rPr>
              <w:t xml:space="preserve">Automatisation &amp; CI/CD</w:t>
            </w:r>
          </w:p>
          <w:p>
            <w:pPr>
              <w:spacing w:before="0" w:after="50" w:line="252" w:lineRule="auto"/>
            </w:pPr>
            <w:r>
              <w:rPr>
                <w:rFonts w:ascii="Consolas" w:hAnsi="Consolas" w:cs="Consolas"/>
                <w:color w:val="484550"/>
                <w:sz w:val="15"/>
                <w:szCs w:val="15"/>
              </w:rPr>
              <w:t xml:space="preserve">Ansible · Ansible Automation Platform 2 · AWX · Jenkins · GitLab CI · Bitbucket · Artifactory · XL Deploy / XL Release · ArgoCD · Helm · Kustomize</w:t>
            </w:r>
          </w:p>
        </w:tc>
        <w:tc>
          <w:tcPr>
            <w:tcW w:w="300" w:type="dxa"/>
            <w:tcMar>
              <w:top w:w="80" w:type="dxa"/>
              <w:left w:w="120" w:type="dxa"/>
              <w:bottom w:w="80" w:type="dxa"/>
              <w:right w:w="120" w:type="dxa"/>
            </w:tcMar>
          </w:tcPr>
          <w:p>
            <w:pPr>
              <w:spacing w:before="0" w:after="60" w:line="252" w:lineRule="auto"/>
            </w:pPr>
          </w:p>
        </w:tc>
        <w:tc>
          <w:tcPr>
            <w:tcW w:w="5303" w:type="dxa"/>
            <w:tcMar>
              <w:top w:w="80" w:type="dxa"/>
              <w:left w:w="120" w:type="dxa"/>
              <w:bottom w:w="80" w:type="dxa"/>
              <w:right w:w="120" w:type="dxa"/>
            </w:tcMar>
          </w:tcPr>
          <w:p>
            <w:pPr>
              <w:keepNext/>
              <w:keepLines/>
              <w:spacing w:before="0" w:after="30" w:line="252" w:lineRule="auto"/>
            </w:pPr>
            <w:r>
              <w:rPr>
                <w:rFonts w:ascii="Calibri" w:hAnsi="Calibri" w:cs="Calibri"/>
                <w:b/>
                <w:bCs/>
                <w:color w:val="1c1b20"/>
                <w:sz w:val="18"/>
                <w:szCs w:val="18"/>
              </w:rPr>
              <w:t xml:space="preserve">Conteneurs &amp; orchestration</w:t>
            </w:r>
          </w:p>
          <w:p>
            <w:pPr>
              <w:spacing w:before="0" w:after="50" w:line="252" w:lineRule="auto"/>
            </w:pPr>
            <w:r>
              <w:rPr>
                <w:rFonts w:ascii="Consolas" w:hAnsi="Consolas" w:cs="Consolas"/>
                <w:color w:val="484550"/>
                <w:sz w:val="15"/>
                <w:szCs w:val="15"/>
              </w:rPr>
              <w:t xml:space="preserve">Docker · Kubernetes · K3s · Longhorn · MetalLB · ingress-nginx · cert-manager · Sealed Secrets</w:t>
            </w:r>
          </w:p>
        </w:tc>
      </w:tr>
      <w:tr>
        <w:tc>
          <w:tcPr>
            <w:tcW w:w="5303" w:type="dxa"/>
            <w:tcMar>
              <w:top w:w="80" w:type="dxa"/>
              <w:left w:w="120" w:type="dxa"/>
              <w:bottom w:w="80" w:type="dxa"/>
              <w:right w:w="120" w:type="dxa"/>
            </w:tcMar>
          </w:tcPr>
          <w:p>
            <w:pPr>
              <w:keepNext/>
              <w:keepLines/>
              <w:spacing w:before="0" w:after="30" w:line="252" w:lineRule="auto"/>
            </w:pPr>
            <w:r>
              <w:rPr>
                <w:rFonts w:ascii="Calibri" w:hAnsi="Calibri" w:cs="Calibri"/>
                <w:b/>
                <w:bCs/>
                <w:color w:val="1c1b20"/>
                <w:sz w:val="18"/>
                <w:szCs w:val="18"/>
              </w:rPr>
              <w:t xml:space="preserve">Cloud &amp; IaC</w:t>
            </w:r>
          </w:p>
          <w:p>
            <w:pPr>
              <w:spacing w:before="0" w:after="50" w:line="252" w:lineRule="auto"/>
            </w:pPr>
            <w:r>
              <w:rPr>
                <w:rFonts w:ascii="Consolas" w:hAnsi="Consolas" w:cs="Consolas"/>
                <w:color w:val="484550"/>
                <w:sz w:val="15"/>
                <w:szCs w:val="15"/>
              </w:rPr>
              <w:t xml:space="preserve">Azure et Terraform (migration BPCE Lease 2021) · XCP-ng · vSphere · Docker Compose</w:t>
            </w:r>
          </w:p>
        </w:tc>
        <w:tc>
          <w:tcPr>
            <w:tcW w:w="300" w:type="dxa"/>
            <w:tcMar>
              <w:top w:w="80" w:type="dxa"/>
              <w:left w:w="120" w:type="dxa"/>
              <w:bottom w:w="80" w:type="dxa"/>
              <w:right w:w="120" w:type="dxa"/>
            </w:tcMar>
          </w:tcPr>
          <w:p>
            <w:pPr>
              <w:spacing w:before="0" w:after="60" w:line="252" w:lineRule="auto"/>
            </w:pPr>
          </w:p>
        </w:tc>
        <w:tc>
          <w:tcPr>
            <w:tcW w:w="5303" w:type="dxa"/>
            <w:tcMar>
              <w:top w:w="80" w:type="dxa"/>
              <w:left w:w="120" w:type="dxa"/>
              <w:bottom w:w="80" w:type="dxa"/>
              <w:right w:w="120" w:type="dxa"/>
            </w:tcMar>
          </w:tcPr>
          <w:p>
            <w:pPr>
              <w:keepNext/>
              <w:keepLines/>
              <w:spacing w:before="0" w:after="30" w:line="252" w:lineRule="auto"/>
            </w:pPr>
            <w:r>
              <w:rPr>
                <w:rFonts w:ascii="Calibri" w:hAnsi="Calibri" w:cs="Calibri"/>
                <w:b/>
                <w:bCs/>
                <w:color w:val="1c1b20"/>
                <w:sz w:val="18"/>
                <w:szCs w:val="18"/>
              </w:rPr>
              <w:t xml:space="preserve">Systèmes</w:t>
            </w:r>
          </w:p>
          <w:p>
            <w:pPr>
              <w:spacing w:before="0" w:after="50" w:line="252" w:lineRule="auto"/>
            </w:pPr>
            <w:r>
              <w:rPr>
                <w:rFonts w:ascii="Consolas" w:hAnsi="Consolas" w:cs="Consolas"/>
                <w:color w:val="484550"/>
                <w:sz w:val="15"/>
                <w:szCs w:val="15"/>
              </w:rPr>
              <w:t xml:space="preserve">Red Hat (RHEL 6 → 9.5) · SUSE · Debian/Arch · AIX · Solaris · Windows Server · Apache HTTPD · JBoss · Nginx</w:t>
            </w:r>
          </w:p>
        </w:tc>
      </w:tr>
      <w:tr>
        <w:tc>
          <w:tcPr>
            <w:tcW w:w="5303" w:type="dxa"/>
            <w:tcMar>
              <w:top w:w="80" w:type="dxa"/>
              <w:left w:w="120" w:type="dxa"/>
              <w:bottom w:w="80" w:type="dxa"/>
              <w:right w:w="120" w:type="dxa"/>
            </w:tcMar>
          </w:tcPr>
          <w:p>
            <w:pPr>
              <w:keepNext/>
              <w:keepLines/>
              <w:spacing w:before="0" w:after="30" w:line="252" w:lineRule="auto"/>
            </w:pPr>
            <w:r>
              <w:rPr>
                <w:rFonts w:ascii="Calibri" w:hAnsi="Calibri" w:cs="Calibri"/>
                <w:b/>
                <w:bCs/>
                <w:color w:val="1c1b20"/>
                <w:sz w:val="18"/>
                <w:szCs w:val="18"/>
              </w:rPr>
              <w:t xml:space="preserve">Vérification</w:t>
            </w:r>
          </w:p>
          <w:p>
            <w:pPr>
              <w:spacing w:before="0" w:after="50" w:line="252" w:lineRule="auto"/>
            </w:pPr>
            <w:r>
              <w:rPr>
                <w:rFonts w:ascii="Consolas" w:hAnsi="Consolas" w:cs="Consolas"/>
                <w:color w:val="484550"/>
                <w:sz w:val="15"/>
                <w:szCs w:val="15"/>
              </w:rPr>
              <w:t xml:space="preserve">Tests unitaires · tests de bout en bout · Vitest · Playwright · SonarQube · analyse statique de sécurité · détection de secrets · scan de vulnérabilités</w:t>
            </w:r>
          </w:p>
        </w:tc>
        <w:tc>
          <w:tcPr>
            <w:tcW w:w="300" w:type="dxa"/>
            <w:tcMar>
              <w:top w:w="80" w:type="dxa"/>
              <w:left w:w="120" w:type="dxa"/>
              <w:bottom w:w="80" w:type="dxa"/>
              <w:right w:w="120" w:type="dxa"/>
            </w:tcMar>
          </w:tcPr>
          <w:p>
            <w:pPr>
              <w:spacing w:before="0" w:after="60" w:line="252" w:lineRule="auto"/>
            </w:pPr>
          </w:p>
        </w:tc>
        <w:tc>
          <w:tcPr>
            <w:tcW w:w="5303" w:type="dxa"/>
            <w:tcMar>
              <w:top w:w="80" w:type="dxa"/>
              <w:left w:w="120" w:type="dxa"/>
              <w:bottom w:w="80" w:type="dxa"/>
              <w:right w:w="120" w:type="dxa"/>
            </w:tcMar>
          </w:tcPr>
          <w:p>
            <w:pPr>
              <w:keepNext/>
              <w:keepLines/>
              <w:spacing w:before="0" w:after="30" w:line="252" w:lineRule="auto"/>
            </w:pPr>
            <w:r>
              <w:rPr>
                <w:rFonts w:ascii="Calibri" w:hAnsi="Calibri" w:cs="Calibri"/>
                <w:b/>
                <w:bCs/>
                <w:color w:val="1c1b20"/>
                <w:sz w:val="18"/>
                <w:szCs w:val="18"/>
              </w:rPr>
              <w:t xml:space="preserve">IA &amp; agents</w:t>
            </w:r>
          </w:p>
          <w:p>
            <w:pPr>
              <w:spacing w:before="0" w:after="50" w:line="252" w:lineRule="auto"/>
            </w:pPr>
            <w:r>
              <w:rPr>
                <w:rFonts w:ascii="Consolas" w:hAnsi="Consolas" w:cs="Consolas"/>
                <w:color w:val="484550"/>
                <w:sz w:val="15"/>
                <w:szCs w:val="15"/>
              </w:rPr>
              <w:t xml:space="preserve">LLMOps · Model Context Protocol (MCP) · agents IA · sécurité des LLM · suivi de coût par modèle · Anthropic Claude</w:t>
            </w:r>
          </w:p>
        </w:tc>
      </w:tr>
      <w:tr>
        <w:tc>
          <w:tcPr>
            <w:tcW w:w="5303" w:type="dxa"/>
            <w:tcMar>
              <w:top w:w="80" w:type="dxa"/>
              <w:left w:w="120" w:type="dxa"/>
              <w:bottom w:w="80" w:type="dxa"/>
              <w:right w:w="120" w:type="dxa"/>
            </w:tcMar>
          </w:tcPr>
          <w:p>
            <w:pPr>
              <w:keepNext/>
              <w:keepLines/>
              <w:spacing w:before="0" w:after="30" w:line="252" w:lineRule="auto"/>
            </w:pPr>
            <w:r>
              <w:rPr>
                <w:rFonts w:ascii="Calibri" w:hAnsi="Calibri" w:cs="Calibri"/>
                <w:b/>
                <w:bCs/>
                <w:color w:val="1c1b20"/>
                <w:sz w:val="18"/>
                <w:szCs w:val="18"/>
              </w:rPr>
              <w:t xml:space="preserve">Observabilité</w:t>
            </w:r>
          </w:p>
          <w:p>
            <w:pPr>
              <w:spacing w:before="0" w:after="50" w:line="252" w:lineRule="auto"/>
            </w:pPr>
            <w:r>
              <w:rPr>
                <w:rFonts w:ascii="Consolas" w:hAnsi="Consolas" w:cs="Consolas"/>
                <w:color w:val="484550"/>
                <w:sz w:val="15"/>
                <w:szCs w:val="15"/>
              </w:rPr>
              <w:t xml:space="preserve">Prometheus · Grafana · Loki · OpenTelemetry · VictoriaMetrics · Centreon · Zabbix · AppDynamics · Splunk</w:t>
            </w:r>
          </w:p>
        </w:tc>
        <w:tc>
          <w:tcPr>
            <w:tcW w:w="300" w:type="dxa"/>
            <w:tcMar>
              <w:top w:w="80" w:type="dxa"/>
              <w:left w:w="120" w:type="dxa"/>
              <w:bottom w:w="80" w:type="dxa"/>
              <w:right w:w="120" w:type="dxa"/>
            </w:tcMar>
          </w:tcPr>
          <w:p>
            <w:pPr>
              <w:spacing w:before="0" w:after="60" w:line="252" w:lineRule="auto"/>
            </w:pPr>
          </w:p>
        </w:tc>
        <w:tc>
          <w:tcPr>
            <w:tcW w:w="5303" w:type="dxa"/>
            <w:tcMar>
              <w:top w:w="80" w:type="dxa"/>
              <w:left w:w="120" w:type="dxa"/>
              <w:bottom w:w="80" w:type="dxa"/>
              <w:right w:w="120" w:type="dxa"/>
            </w:tcMar>
          </w:tcPr>
          <w:p>
            <w:pPr>
              <w:keepNext/>
              <w:keepLines/>
              <w:spacing w:before="0" w:after="30" w:line="252" w:lineRule="auto"/>
            </w:pPr>
            <w:r>
              <w:rPr>
                <w:rFonts w:ascii="Calibri" w:hAnsi="Calibri" w:cs="Calibri"/>
                <w:b/>
                <w:bCs/>
                <w:color w:val="1c1b20"/>
                <w:sz w:val="18"/>
                <w:szCs w:val="18"/>
              </w:rPr>
              <w:t xml:space="preserve">Sécurité</w:t>
            </w:r>
          </w:p>
          <w:p>
            <w:pPr>
              <w:spacing w:before="0" w:after="50" w:line="252" w:lineRule="auto"/>
            </w:pPr>
            <w:r>
              <w:rPr>
                <w:rFonts w:ascii="Consolas" w:hAnsi="Consolas" w:cs="Consolas"/>
                <w:color w:val="484550"/>
                <w:sz w:val="15"/>
                <w:szCs w:val="15"/>
              </w:rPr>
              <w:t xml:space="preserve">SSL/TLS · OpenSSL · keystores JKS · Venafi · CyberArk (PSM/PSMP) · LDAP · Infisical · Authentik · durcissement Linux</w:t>
            </w:r>
          </w:p>
        </w:tc>
      </w:tr>
      <w:tr>
        <w:tc>
          <w:tcPr>
            <w:tcW w:w="5303" w:type="dxa"/>
            <w:tcMar>
              <w:top w:w="80" w:type="dxa"/>
              <w:left w:w="120" w:type="dxa"/>
              <w:bottom w:w="80" w:type="dxa"/>
              <w:right w:w="120" w:type="dxa"/>
            </w:tcMar>
          </w:tcPr>
          <w:p>
            <w:pPr>
              <w:keepNext/>
              <w:keepLines/>
              <w:spacing w:before="0" w:after="30" w:line="252" w:lineRule="auto"/>
            </w:pPr>
            <w:r>
              <w:rPr>
                <w:rFonts w:ascii="Calibri" w:hAnsi="Calibri" w:cs="Calibri"/>
                <w:b/>
                <w:bCs/>
                <w:color w:val="1c1b20"/>
                <w:sz w:val="18"/>
                <w:szCs w:val="18"/>
              </w:rPr>
              <w:t xml:space="preserve">Langages</w:t>
            </w:r>
          </w:p>
          <w:p>
            <w:pPr>
              <w:spacing w:before="0" w:after="50" w:line="252" w:lineRule="auto"/>
            </w:pPr>
            <w:r>
              <w:rPr>
                <w:rFonts w:ascii="Consolas" w:hAnsi="Consolas" w:cs="Consolas"/>
                <w:color w:val="484550"/>
                <w:sz w:val="15"/>
                <w:szCs w:val="15"/>
              </w:rPr>
              <w:t xml:space="preserve">Bash · Python · jq · YAML · Jinja2 · JSON · Rust (notions)</w:t>
            </w:r>
          </w:p>
        </w:tc>
        <w:tc>
          <w:tcPr>
            <w:tcW w:w="300" w:type="dxa"/>
            <w:tcMar>
              <w:top w:w="80" w:type="dxa"/>
              <w:left w:w="120" w:type="dxa"/>
              <w:bottom w:w="80" w:type="dxa"/>
              <w:right w:w="120" w:type="dxa"/>
            </w:tcMar>
          </w:tcPr>
          <w:p>
            <w:pPr>
              <w:spacing w:before="0" w:after="60" w:line="252" w:lineRule="auto"/>
            </w:pPr>
          </w:p>
        </w:tc>
        <w:tc>
          <w:tcPr>
            <w:tcW w:w="5303" w:type="dxa"/>
            <w:tcMar>
              <w:top w:w="80" w:type="dxa"/>
              <w:left w:w="120" w:type="dxa"/>
              <w:bottom w:w="80" w:type="dxa"/>
              <w:right w:w="120" w:type="dxa"/>
            </w:tcMar>
          </w:tcPr>
          <w:p>
            <w:pPr>
              <w:spacing w:before="0" w:after="60" w:line="252" w:lineRule="auto"/>
            </w:pPr>
          </w:p>
        </w:tc>
      </w:tr>
    </w:tbl>
    <w:p>
      <w:pPr>
        <w:keepNext/>
        <w:keepLines/>
        <w:spacing w:before="90" w:after="80" w:line="252" w:lineRule="auto"/>
      </w:pPr>
      <w:r>
        <w:rPr>
          <w:rFonts w:ascii="Consolas" w:hAnsi="Consolas" w:cs="Consolas"/>
          <w:b/>
          <w:bCs/>
          <w:color w:val="9775BA"/>
          <w:sz w:val="18"/>
          <w:szCs w:val="18"/>
        </w:rPr>
        <w:t xml:space="preserve">// </w:t>
      </w:r>
      <w:r>
        <w:rPr>
          <w:rFonts w:ascii="Consolas" w:hAnsi="Consolas" w:cs="Consolas"/>
          <w:b/>
          <w:bCs/>
          <w:color w:val="7a68b4"/>
          <w:spacing w:val="16"/>
          <w:sz w:val="18"/>
          <w:szCs w:val="18"/>
        </w:rPr>
        <w:t xml:space="preserve">PROJETS</w:t>
      </w:r>
    </w:p>
    <w:tbl>
      <w:tblPr>
        <w:tblW w:w="10906" w:type="dxa"/>
        <w:tblLayout w:type="fixed"/>
        <w:tblCellMar>
          <w:left w:w="0" w:type="dxa"/>
          <w:right w:w="0" w:type="dxa"/>
        </w:tblCellMar>
      </w:tblPr>
      <w:tblGrid>
        <w:gridCol w:w="5333"/>
        <w:gridCol w:w="240"/>
        <w:gridCol w:w="5333"/>
      </w:tblGrid>
      <w:tr>
        <w:tc>
          <w:tcPr>
            <w:tcW w:w="5333" w:type="dxa"/>
            <w:tcBorders>
              <w:top w:val="single" w:sz="4" w:space="0" w:color="cac4d2"/>
              <w:left w:val="single" w:sz="24" w:space="0" w:color="6866A7"/>
              <w:bottom w:val="single" w:sz="4" w:space="0" w:color="cac4d2"/>
              <w:right w:val="single" w:sz="4" w:space="0" w:color="cac4d2"/>
            </w:tcBorders>
            <w:tcMar>
              <w:top w:w="120" w:type="dxa"/>
              <w:left w:w="160" w:type="dxa"/>
              <w:bottom w:w="120" w:type="dxa"/>
              <w:right w:w="140" w:type="dxa"/>
            </w:tcMar>
          </w:tcPr>
          <w:p>
            <w:pPr>
              <w:keepNext/>
              <w:keepLines/>
              <w:spacing w:before="0" w:after="20" w:line="252" w:lineRule="auto"/>
            </w:pPr>
            <w:r>
              <w:rPr>
                <w:rFonts w:ascii="Calibri" w:hAnsi="Calibri" w:cs="Calibri"/>
                <w:b/>
                <w:bCs/>
                <w:color w:val="1c1b20"/>
                <w:sz w:val="19"/>
                <w:szCs w:val="19"/>
              </w:rPr>
              <w:t xml:space="preserve">Homelab K3s 100 % GitOps</w:t>
            </w:r>
          </w:p>
          <w:p>
            <w:pPr>
              <w:spacing w:before="0" w:after="20" w:line="252" w:lineRule="auto"/>
            </w:pPr>
            <w:r>
              <w:rPr>
                <w:rFonts w:ascii="Consolas" w:hAnsi="Consolas" w:cs="Consolas"/>
                <w:color w:val="7a68b4"/>
                <w:sz w:val="15"/>
                <w:szCs w:val="15"/>
              </w:rPr>
              <w:t xml:space="preserve">homelab.scasse.com</w:t>
            </w:r>
          </w:p>
          <w:p>
            <w:pPr>
              <w:spacing w:before="0" w:after="0" w:line="252" w:lineRule="auto"/>
            </w:pPr>
            <w:r>
              <w:rPr>
                <w:rFonts w:ascii="Calibri" w:hAnsi="Calibri" w:cs="Calibri"/>
                <w:color w:val="484550"/>
                <w:sz w:val="16"/>
                <w:szCs w:val="16"/>
              </w:rPr>
              <w:t xml:space="preserve">3 Raspberry Pi 4, K3s, MetalLB, Longhorn, cert-manager, Sealed Secrets, Argo CD App-of-Apps (9 apps), 3 playbooks Ansible, doc Hugo déployée par GitLab CI. État 2025 : l'infrastructure a depuis migré vers un socle XCP-ng.</w:t>
            </w:r>
          </w:p>
        </w:tc>
        <w:tc>
          <w:tcPr>
            <w:tcW w:w="240" w:type="dxa"/>
            <w:tcMar>
              <w:top w:w="80" w:type="dxa"/>
              <w:left w:w="120" w:type="dxa"/>
              <w:bottom w:w="80" w:type="dxa"/>
              <w:right w:w="120" w:type="dxa"/>
            </w:tcMar>
          </w:tcPr>
          <w:p>
            <w:pPr>
              <w:spacing w:before="0" w:after="60" w:line="252" w:lineRule="auto"/>
            </w:pPr>
          </w:p>
        </w:tc>
        <w:tc>
          <w:tcPr>
            <w:tcW w:w="5333" w:type="dxa"/>
            <w:tcBorders>
              <w:top w:val="single" w:sz="4" w:space="0" w:color="cac4d2"/>
              <w:left w:val="single" w:sz="24" w:space="0" w:color="A86F9F"/>
              <w:bottom w:val="single" w:sz="4" w:space="0" w:color="cac4d2"/>
              <w:right w:val="single" w:sz="4" w:space="0" w:color="cac4d2"/>
            </w:tcBorders>
            <w:tcMar>
              <w:top w:w="120" w:type="dxa"/>
              <w:left w:w="160" w:type="dxa"/>
              <w:bottom w:w="120" w:type="dxa"/>
              <w:right w:w="140" w:type="dxa"/>
            </w:tcMar>
          </w:tcPr>
          <w:p>
            <w:pPr>
              <w:keepNext/>
              <w:keepLines/>
              <w:spacing w:before="0" w:after="20" w:line="252" w:lineRule="auto"/>
            </w:pPr>
            <w:r>
              <w:rPr>
                <w:rFonts w:ascii="Calibri" w:hAnsi="Calibri" w:cs="Calibri"/>
                <w:b/>
                <w:bCs/>
                <w:color w:val="1c1b20"/>
                <w:sz w:val="19"/>
                <w:szCs w:val="19"/>
              </w:rPr>
              <w:t xml:space="preserve">Skynet — cockpit IA local-first</w:t>
            </w:r>
          </w:p>
          <w:p>
            <w:pPr>
              <w:spacing w:before="0" w:after="20" w:line="252" w:lineRule="auto"/>
            </w:pPr>
            <w:r>
              <w:rPr>
                <w:rFonts w:ascii="Consolas" w:hAnsi="Consolas" w:cs="Consolas"/>
                <w:color w:val="7a68b4"/>
                <w:sz w:val="15"/>
                <w:szCs w:val="15"/>
              </w:rPr>
              <w:t xml:space="preserve">Claude · MCP</w:t>
            </w:r>
          </w:p>
          <w:p>
            <w:pPr>
              <w:spacing w:before="0" w:after="0" w:line="252" w:lineRule="auto"/>
            </w:pPr>
            <w:r>
              <w:rPr>
                <w:rFonts w:ascii="Calibri" w:hAnsi="Calibri" w:cs="Calibri"/>
                <w:color w:val="484550"/>
                <w:sz w:val="16"/>
                <w:szCs w:val="16"/>
              </w:rPr>
              <w:t xml:space="preserve">Assistant personnel piloté par Claude, tenu comme une application de production : CI à tolérance zéro, déploiement conditionné au vert, observabilité OpenTelemetry, suivi du coût par modèle, audits de sécurité rejoués à chaque évolution, exercice de reprise trimestriel.</w:t>
            </w:r>
          </w:p>
        </w:tc>
      </w:tr>
      <w:tr>
        <w:tc>
          <w:tcPr>
            <w:tcW w:w="5333" w:type="dxa"/>
            <w:tcMar>
              <w:top w:w="0" w:type="dxa"/>
              <w:left w:w="0" w:type="dxa"/>
              <w:bottom w:w="0" w:type="dxa"/>
              <w:right w:w="0" w:type="dxa"/>
            </w:tcMar>
          </w:tcPr>
          <w:p>
            <w:pPr>
              <w:spacing w:before="0" w:after="0" w:line="90" w:lineRule="exact"/>
            </w:pPr>
          </w:p>
        </w:tc>
        <w:tc>
          <w:tcPr>
            <w:tcW w:w="240" w:type="dxa"/>
            <w:tcMar>
              <w:top w:w="80" w:type="dxa"/>
              <w:left w:w="120" w:type="dxa"/>
              <w:bottom w:w="80" w:type="dxa"/>
              <w:right w:w="120" w:type="dxa"/>
            </w:tcMar>
          </w:tcPr>
          <w:p>
            <w:pPr>
              <w:spacing w:before="0" w:after="0" w:line="90" w:lineRule="exact"/>
            </w:pPr>
          </w:p>
        </w:tc>
        <w:tc>
          <w:tcPr>
            <w:tcW w:w="5333" w:type="dxa"/>
            <w:tcMar>
              <w:top w:w="0" w:type="dxa"/>
              <w:left w:w="0" w:type="dxa"/>
              <w:bottom w:w="0" w:type="dxa"/>
              <w:right w:w="0" w:type="dxa"/>
            </w:tcMar>
          </w:tcPr>
          <w:p>
            <w:pPr>
              <w:spacing w:before="0" w:after="0" w:line="90" w:lineRule="exact"/>
            </w:pPr>
          </w:p>
        </w:tc>
      </w:tr>
      <w:tr>
        <w:tc>
          <w:tcPr>
            <w:tcW w:w="5333" w:type="dxa"/>
            <w:tcBorders>
              <w:top w:val="single" w:sz="4" w:space="0" w:color="cac4d2"/>
              <w:left w:val="single" w:sz="24" w:space="0" w:color="6866A7"/>
              <w:bottom w:val="single" w:sz="4" w:space="0" w:color="cac4d2"/>
              <w:right w:val="single" w:sz="4" w:space="0" w:color="cac4d2"/>
            </w:tcBorders>
            <w:tcMar>
              <w:top w:w="120" w:type="dxa"/>
              <w:left w:w="160" w:type="dxa"/>
              <w:bottom w:w="120" w:type="dxa"/>
              <w:right w:w="140" w:type="dxa"/>
            </w:tcMar>
          </w:tcPr>
          <w:p>
            <w:pPr>
              <w:keepNext/>
              <w:keepLines/>
              <w:spacing w:before="0" w:after="20" w:line="252" w:lineRule="auto"/>
            </w:pPr>
            <w:r>
              <w:rPr>
                <w:rFonts w:ascii="Calibri" w:hAnsi="Calibri" w:cs="Calibri"/>
                <w:b/>
                <w:bCs/>
                <w:color w:val="1c1b20"/>
                <w:sz w:val="19"/>
                <w:szCs w:val="19"/>
              </w:rPr>
              <w:t xml:space="preserve">nalarch — open source</w:t>
            </w:r>
          </w:p>
          <w:p>
            <w:pPr>
              <w:spacing w:before="0" w:after="20" w:line="252" w:lineRule="auto"/>
            </w:pPr>
            <w:r>
              <w:rPr>
                <w:rFonts w:ascii="Consolas" w:hAnsi="Consolas" w:cs="Consolas"/>
                <w:color w:val="7a68b4"/>
                <w:sz w:val="15"/>
                <w:szCs w:val="15"/>
              </w:rPr>
              <w:t xml:space="preserve">Rust · MIT</w:t>
            </w:r>
          </w:p>
          <w:p>
            <w:pPr>
              <w:spacing w:before="0" w:after="0" w:line="252" w:lineRule="auto"/>
            </w:pPr>
            <w:r>
              <w:rPr>
                <w:rFonts w:ascii="Calibri" w:hAnsi="Calibri" w:cs="Calibri"/>
                <w:color w:val="484550"/>
                <w:sz w:val="16"/>
                <w:szCs w:val="16"/>
              </w:rPr>
              <w:t xml:space="preserve">Gestionnaire de paquets TUI pour Arch Linux ; rien ne s'exécute sans écran d'approbation.</w:t>
            </w:r>
          </w:p>
        </w:tc>
        <w:tc>
          <w:tcPr>
            <w:tcW w:w="240" w:type="dxa"/>
            <w:tcMar>
              <w:top w:w="80" w:type="dxa"/>
              <w:left w:w="120" w:type="dxa"/>
              <w:bottom w:w="80" w:type="dxa"/>
              <w:right w:w="120" w:type="dxa"/>
            </w:tcMar>
          </w:tcPr>
          <w:p>
            <w:pPr>
              <w:spacing w:before="0" w:after="60" w:line="252" w:lineRule="auto"/>
            </w:pPr>
          </w:p>
        </w:tc>
        <w:tc>
          <w:tcPr>
            <w:tcW w:w="5333" w:type="dxa"/>
            <w:tcMar>
              <w:top w:w="80" w:type="dxa"/>
              <w:left w:w="120" w:type="dxa"/>
              <w:bottom w:w="80" w:type="dxa"/>
              <w:right w:w="120" w:type="dxa"/>
            </w:tcMar>
          </w:tcPr>
          <w:p>
            <w:pPr>
              <w:spacing w:before="0" w:after="60" w:line="252" w:lineRule="auto"/>
            </w:pPr>
          </w:p>
        </w:tc>
      </w:tr>
    </w:tbl>
    <w:p>
      <w:pPr>
        <w:spacing w:before="0" w:after="0" w:line="80" w:lineRule="exact"/>
      </w:pPr>
    </w:p>
    <w:tbl>
      <w:tblPr>
        <w:tblW w:w="109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Pr>
      <w:tblGrid>
        <w:gridCol w:w="5303"/>
        <w:gridCol w:w="300"/>
        <w:gridCol w:w="5303"/>
      </w:tblGrid>
      <w:tr>
        <w:tc>
          <w:tcPr>
            <w:tcW w:w="5303" w:type="dxa"/>
            <w:tcMar>
              <w:top w:w="80" w:type="dxa"/>
              <w:left w:w="120" w:type="dxa"/>
              <w:bottom w:w="80" w:type="dxa"/>
              <w:right w:w="120" w:type="dxa"/>
            </w:tcMar>
          </w:tcPr>
          <w:p>
            <w:pPr>
              <w:keepNext/>
              <w:keepLines/>
              <w:spacing w:before="0" w:after="80" w:line="252" w:lineRule="auto"/>
            </w:pPr>
            <w:r>
              <w:rPr>
                <w:rFonts w:ascii="Consolas" w:hAnsi="Consolas" w:cs="Consolas"/>
                <w:b/>
                <w:bCs/>
                <w:color w:val="9775BA"/>
                <w:sz w:val="18"/>
                <w:szCs w:val="18"/>
              </w:rPr>
              <w:t xml:space="preserve">// </w:t>
            </w:r>
            <w:r>
              <w:rPr>
                <w:rFonts w:ascii="Consolas" w:hAnsi="Consolas" w:cs="Consolas"/>
                <w:b/>
                <w:bCs/>
                <w:color w:val="7a68b4"/>
                <w:spacing w:val="16"/>
                <w:sz w:val="18"/>
                <w:szCs w:val="18"/>
              </w:rPr>
              <w:t xml:space="preserve">FORMATION</w:t>
            </w:r>
          </w:p>
          <w:p>
            <w:pPr>
              <w:spacing w:before="0" w:after="40" w:line="252" w:lineRule="auto"/>
              <w:ind w:left="340" w:hanging="340"/>
            </w:pPr>
            <w:r>
              <w:rPr>
                <w:rFonts w:ascii="Consolas" w:hAnsi="Consolas" w:cs="Consolas"/>
                <w:b/>
                <w:bCs/>
                <w:color w:val="A86F9F"/>
                <w:sz w:val="16"/>
                <w:szCs w:val="16"/>
              </w:rPr>
              <w:t xml:space="preserve">2018  </w:t>
            </w:r>
            <w:r>
              <w:rPr>
                <w:rFonts w:ascii="Calibri" w:hAnsi="Calibri" w:cs="Calibri"/>
                <w:color w:val="484550"/>
                <w:sz w:val="16"/>
                <w:szCs w:val="16"/>
              </w:rPr>
              <w:t xml:space="preserve">Certification ITIL (niv. 1)</w:t>
            </w:r>
          </w:p>
          <w:p>
            <w:pPr>
              <w:spacing w:before="0" w:after="40" w:line="252" w:lineRule="auto"/>
              <w:ind w:left="340" w:hanging="340"/>
            </w:pPr>
            <w:r>
              <w:rPr>
                <w:rFonts w:ascii="Consolas" w:hAnsi="Consolas" w:cs="Consolas"/>
                <w:b/>
                <w:bCs/>
                <w:color w:val="A86F9F"/>
                <w:sz w:val="16"/>
                <w:szCs w:val="16"/>
              </w:rPr>
              <w:t xml:space="preserve">2017  </w:t>
            </w:r>
            <w:r>
              <w:rPr>
                <w:rFonts w:ascii="Calibri" w:hAnsi="Calibri" w:cs="Calibri"/>
                <w:color w:val="484550"/>
                <w:sz w:val="16"/>
                <w:szCs w:val="16"/>
              </w:rPr>
              <w:t xml:space="preserve">Piscine École 42 Paris — programmation C, notation par les pairs, aucun enseignant</w:t>
            </w:r>
          </w:p>
          <w:p>
            <w:pPr>
              <w:spacing w:before="0" w:after="40" w:line="252" w:lineRule="auto"/>
              <w:ind w:left="340" w:hanging="340"/>
            </w:pPr>
            <w:r>
              <w:rPr>
                <w:rFonts w:ascii="Consolas" w:hAnsi="Consolas" w:cs="Consolas"/>
                <w:b/>
                <w:bCs/>
                <w:color w:val="A86F9F"/>
                <w:sz w:val="16"/>
                <w:szCs w:val="16"/>
              </w:rPr>
              <w:t xml:space="preserve">2016  </w:t>
            </w:r>
            <w:r>
              <w:rPr>
                <w:rFonts w:ascii="Calibri" w:hAnsi="Calibri" w:cs="Calibri"/>
                <w:color w:val="484550"/>
                <w:sz w:val="16"/>
                <w:szCs w:val="16"/>
              </w:rPr>
              <w:t xml:space="preserve">Certification administration AIX (niv. 1)</w:t>
            </w:r>
          </w:p>
        </w:tc>
        <w:tc>
          <w:tcPr>
            <w:tcW w:w="300" w:type="dxa"/>
            <w:tcMar>
              <w:top w:w="80" w:type="dxa"/>
              <w:left w:w="120" w:type="dxa"/>
              <w:bottom w:w="80" w:type="dxa"/>
              <w:right w:w="120" w:type="dxa"/>
            </w:tcMar>
          </w:tcPr>
          <w:p>
            <w:pPr>
              <w:spacing w:before="0" w:after="60" w:line="252" w:lineRule="auto"/>
            </w:pPr>
          </w:p>
        </w:tc>
        <w:tc>
          <w:tcPr>
            <w:tcW w:w="5303" w:type="dxa"/>
            <w:tcMar>
              <w:top w:w="80" w:type="dxa"/>
              <w:left w:w="120" w:type="dxa"/>
              <w:bottom w:w="80" w:type="dxa"/>
              <w:right w:w="120" w:type="dxa"/>
            </w:tcMar>
          </w:tcPr>
          <w:p>
            <w:pPr>
              <w:keepNext/>
              <w:keepLines/>
              <w:spacing w:before="0" w:after="80" w:line="252" w:lineRule="auto"/>
            </w:pPr>
            <w:r>
              <w:rPr>
                <w:rFonts w:ascii="Consolas" w:hAnsi="Consolas" w:cs="Consolas"/>
                <w:b/>
                <w:bCs/>
                <w:color w:val="9775BA"/>
                <w:sz w:val="18"/>
                <w:szCs w:val="18"/>
              </w:rPr>
              <w:t xml:space="preserve">// </w:t>
            </w:r>
            <w:r>
              <w:rPr>
                <w:rFonts w:ascii="Consolas" w:hAnsi="Consolas" w:cs="Consolas"/>
                <w:b/>
                <w:bCs/>
                <w:color w:val="7a68b4"/>
                <w:spacing w:val="16"/>
                <w:sz w:val="18"/>
                <w:szCs w:val="18"/>
              </w:rPr>
              <w:t xml:space="preserve">LANGUES</w:t>
            </w:r>
          </w:p>
          <w:p>
            <w:pPr>
              <w:spacing w:before="0" w:after="50" w:line="252" w:lineRule="auto"/>
            </w:pPr>
            <w:r>
              <w:rPr>
                <w:rFonts w:ascii="Calibri" w:hAnsi="Calibri" w:cs="Calibri"/>
                <w:b/>
                <w:bCs/>
                <w:color w:val="1c1b20"/>
                <w:sz w:val="16"/>
                <w:szCs w:val="16"/>
              </w:rPr>
              <w:t xml:space="preserve">Français</w:t>
            </w:r>
            <w:r>
              <w:rPr>
                <w:rFonts w:ascii="Calibri" w:hAnsi="Calibri" w:cs="Calibri"/>
                <w:color w:val="484550"/>
                <w:sz w:val="16"/>
                <w:szCs w:val="16"/>
              </w:rPr>
              <w:t xml:space="preserve"> — natif</w:t>
            </w:r>
          </w:p>
          <w:p>
            <w:pPr>
              <w:spacing w:before="0" w:after="50" w:line="252" w:lineRule="auto"/>
            </w:pPr>
            <w:r>
              <w:rPr>
                <w:rFonts w:ascii="Calibri" w:hAnsi="Calibri" w:cs="Calibri"/>
                <w:b/>
                <w:bCs/>
                <w:color w:val="1c1b20"/>
                <w:sz w:val="16"/>
                <w:szCs w:val="16"/>
              </w:rPr>
              <w:t xml:space="preserve">Anglais</w:t>
            </w:r>
            <w:r>
              <w:rPr>
                <w:rFonts w:ascii="Calibri" w:hAnsi="Calibri" w:cs="Calibri"/>
                <w:color w:val="484550"/>
                <w:sz w:val="16"/>
                <w:szCs w:val="16"/>
              </w:rPr>
              <w:t xml:space="preserve"> — opérationnel — réunions d'équipe animées en anglais</w:t>
            </w:r>
          </w:p>
        </w:tc>
      </w:tr>
    </w:tbl>
    <w:sectPr>
      <w:pgSz w:w="11906" w:h="16838"/>
      <w:pgMar w:top="500" w:right="500" w:bottom="500" w:left="500" w:header="0" w:footer="0" w:gutter="0"/>
    </w:sectPr>
  </w:body>
</w:document>
</file>

<file path=word/styles.xml><?xml version="1.0" encoding="utf-8"?>
<w:styles xmlns:w="http://schemas.openxmlformats.org/wordprocessingml/2006/main">
  <w:docDefaults>
    <w:rPrDefault>
      <w:rPr>
        <w:rFonts w:ascii="Calibri" w:hAnsi="Calibri"/>
        <w:color w:val="1c1b20"/>
        <w:sz w:val="19"/>
        <w:szCs w:val="19"/>
      </w:rPr>
    </w:rPrDefault>
    <w:pPrDefault>
      <w:pPr>
        <w:spacing w:after="60" w:line="252" w:lineRule="auto"/>
      </w:pPr>
    </w:pPrDefault>
  </w:docDefaults>
  <w:style w:type="paragraph" w:default="1" w:styleId="Normal">
    <w:name w:val="Normal"/>
  </w:style>
</w:styles>
</file>

<file path=word/_rels/document.xml.rels><?xml version="1.0" encoding="UTF-8" standalone="yes"?><Relationships xmlns="http://schemas.openxmlformats.org/package/2006/relationships"><Relationship Id="rId3" Type="http://schemas.openxmlformats.org/officeDocument/2006/relationships/styles" Target="styles.xml"/><Relationship Id="rId4" Type="http://schemas.openxmlformats.org/officeDocument/2006/relationships/image" Target="media/logo.png"/></Relationships>
</file>