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blood_gas_first_day_arterial</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script creates a table to analyze arterial blood gas measurements, including oxygen-related parameters, acid-base balance, blood counts, and other chemistry values. It predicts the sample type based on existing data, focusing specifically on arterial samples.</w:t>
      </w:r>
    </w:p>
    <w:p w:rsidR="00000000" w:rsidDel="00000000" w:rsidP="00000000" w:rsidRDefault="00000000" w:rsidRPr="00000000" w14:paraId="00000003">
      <w:pPr>
        <w:numPr>
          <w:ilvl w:val="0"/>
          <w:numId w:val="2"/>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 Not specified in the script.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consists of multiple stages, including extracting and processing SpO2 and FiO2 data, joining this data with blood gas measurements, and predicting specimen type. It ensures that data is correctly formatted and filters for the most recent values.</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Data Extraction</w:t>
      </w:r>
      <w:r w:rsidDel="00000000" w:rsidR="00000000" w:rsidRPr="00000000">
        <w:rPr>
          <w:rtl w:val="0"/>
        </w:rPr>
        <w:t xml:space="preserve">: The script creates two staging tables:</w:t>
      </w:r>
    </w:p>
    <w:p w:rsidR="00000000" w:rsidDel="00000000" w:rsidP="00000000" w:rsidRDefault="00000000" w:rsidRPr="00000000" w14:paraId="00000007">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stg_spo2</w:t>
      </w:r>
      <w:r w:rsidDel="00000000" w:rsidR="00000000" w:rsidRPr="00000000">
        <w:rPr>
          <w:rtl w:val="0"/>
        </w:rPr>
        <w:t xml:space="preserve">: Collects SpO2 values from </w:t>
      </w:r>
      <w:r w:rsidDel="00000000" w:rsidR="00000000" w:rsidRPr="00000000">
        <w:rPr>
          <w:rFonts w:ascii="Roboto Mono" w:cs="Roboto Mono" w:eastAsia="Roboto Mono" w:hAnsi="Roboto Mono"/>
          <w:color w:val="188038"/>
          <w:rtl w:val="0"/>
        </w:rPr>
        <w:t xml:space="preserve">chartevents</w:t>
      </w:r>
      <w:r w:rsidDel="00000000" w:rsidR="00000000" w:rsidRPr="00000000">
        <w:rPr>
          <w:rtl w:val="0"/>
        </w:rPr>
        <w:t xml:space="preserve">, ensuring they are within valid ranges.</w:t>
      </w:r>
    </w:p>
    <w:p w:rsidR="00000000" w:rsidDel="00000000" w:rsidP="00000000" w:rsidRDefault="00000000" w:rsidRPr="00000000" w14:paraId="0000000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stg_fio2</w:t>
      </w:r>
      <w:r w:rsidDel="00000000" w:rsidR="00000000" w:rsidRPr="00000000">
        <w:rPr>
          <w:rtl w:val="0"/>
        </w:rPr>
        <w:t xml:space="preserve">: Gathers and formats FiO2 values, handling cases of improperly input data.</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Join and Predict</w:t>
      </w:r>
      <w:r w:rsidDel="00000000" w:rsidR="00000000" w:rsidRPr="00000000">
        <w:rPr>
          <w:rtl w:val="0"/>
        </w:rPr>
        <w:t xml:space="preserve">: It joins the staging tables with the blood gas measurements from the </w:t>
      </w:r>
      <w:r w:rsidDel="00000000" w:rsidR="00000000" w:rsidRPr="00000000">
        <w:rPr>
          <w:rFonts w:ascii="Roboto Mono" w:cs="Roboto Mono" w:eastAsia="Roboto Mono" w:hAnsi="Roboto Mono"/>
          <w:color w:val="188038"/>
          <w:rtl w:val="0"/>
        </w:rPr>
        <w:t xml:space="preserve">blood_gas_first_day</w:t>
      </w:r>
      <w:r w:rsidDel="00000000" w:rsidR="00000000" w:rsidRPr="00000000">
        <w:rPr>
          <w:rtl w:val="0"/>
        </w:rPr>
        <w:t xml:space="preserve"> table to compute a probability for specimen type using a logistic regression formula.</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Final Selection</w:t>
      </w:r>
      <w:r w:rsidDel="00000000" w:rsidR="00000000" w:rsidRPr="00000000">
        <w:rPr>
          <w:rtl w:val="0"/>
        </w:rPr>
        <w:t xml:space="preserve">: The final selection filters the results to only include the most recent values for FiO2 and restricts the output to arterial samples based on either raw data or predicted probability.</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script produces a table containing:</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Subject, hospital admission, and ICU stay identifiers.</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Blood gas measurements and their predicted specimen types.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Oxygen-related parameters (SpO2, FiO2, PO2, PCO2).</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Acid-base and blood count parameters.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rtl w:val="0"/>
        </w:rPr>
        <w:t xml:space="preserve">Chemistry values and ventilation metrics.</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b w:val="1"/>
          <w:rtl w:val="0"/>
        </w:rPr>
        <w:t xml:space="preserve">Example Query</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sql</w:t>
      </w:r>
    </w:p>
    <w:p w:rsidR="00000000" w:rsidDel="00000000" w:rsidP="00000000" w:rsidRDefault="00000000" w:rsidRPr="00000000" w14:paraId="00000013">
      <w:pPr>
        <w:rPr/>
      </w:pPr>
      <w:r w:rsidDel="00000000" w:rsidR="00000000" w:rsidRPr="00000000">
        <w:rPr>
          <w:rtl w:val="0"/>
        </w:rPr>
        <w:t xml:space="preserve">Copy code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 * FROM blood_gas_first_day_arterial;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The script includes robust checks for data validity, ensuring that only meaningful values are considered in analyses.</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It handles missing data gracefully through the use of COALESCE and probability calculations.</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aids in the understanding and analysis of arterial blood gas measurements by effectively processing and predicting missing values, making it a useful tool for clinical data analysis.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