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lev5vadp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Documentation: Elixhauser Comorbidities Calculation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fav5netfx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SQL script calculates the </w:t>
      </w:r>
      <w:r w:rsidDel="00000000" w:rsidR="00000000" w:rsidRPr="00000000">
        <w:rPr>
          <w:b w:val="1"/>
          <w:rtl w:val="0"/>
        </w:rPr>
        <w:t xml:space="preserve">Elixhauser Comorbidities</w:t>
      </w:r>
      <w:r w:rsidDel="00000000" w:rsidR="00000000" w:rsidRPr="00000000">
        <w:rPr>
          <w:rtl w:val="0"/>
        </w:rPr>
        <w:t xml:space="preserve"> using the methodology defined by Quan et al. in their 2005 paper, </w:t>
      </w:r>
      <w:r w:rsidDel="00000000" w:rsidR="00000000" w:rsidRPr="00000000">
        <w:rPr>
          <w:i w:val="1"/>
          <w:rtl w:val="0"/>
        </w:rPr>
        <w:t xml:space="preserve">"Coding Algorithms for Defining Comorbidities in ICD-9-CM and ICD-10 Administrative Data"</w:t>
      </w:r>
      <w:r w:rsidDel="00000000" w:rsidR="00000000" w:rsidRPr="00000000">
        <w:rPr>
          <w:rtl w:val="0"/>
        </w:rPr>
        <w:t xml:space="preserve">. It implements the "Enhanced ICD-9" coding algorithm to derive Elixhauser comorbidities based on ICD-9 diagnosis codes.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aggregates individual ICD-9 diagnoses from patients and computes the presence of 30 comorbidities based on specified ICD-9 codes. Each comorbidity is assigned a binary flag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for presence,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for absence).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rujpl3ofo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References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Quan, H., et al. (2005). </w:t>
      </w:r>
      <w:r w:rsidDel="00000000" w:rsidR="00000000" w:rsidRPr="00000000">
        <w:rPr>
          <w:i w:val="1"/>
          <w:rtl w:val="0"/>
        </w:rPr>
        <w:t xml:space="preserve">"Coding Algorithms for Defining Comorbidities in ICD-9-CM and ICD-10 Administrative Data."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PubMed 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hbdwc4df3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Logic Summary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ICD-9 Code Matching</w:t>
      </w:r>
      <w:r w:rsidDel="00000000" w:rsidR="00000000" w:rsidRPr="00000000">
        <w:rPr>
          <w:rtl w:val="0"/>
        </w:rPr>
        <w:t xml:space="preserve">: Comorbidities are defined based on ICD-9 diagnosis codes. The logic compares: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5-character ICD-9 codes.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4 characters for broader classifications.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3 characters for high-level diagnoses.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Comorbidity Flags</w:t>
      </w:r>
      <w:r w:rsidDel="00000000" w:rsidR="00000000" w:rsidRPr="00000000">
        <w:rPr>
          <w:rtl w:val="0"/>
        </w:rPr>
        <w:t xml:space="preserve">: The script assigns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each comorbidity flag based on the ICD-9 code matching for each patient’s admission.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Comorbidities</w:t>
      </w:r>
      <w:r w:rsidDel="00000000" w:rsidR="00000000" w:rsidRPr="00000000">
        <w:rPr>
          <w:rtl w:val="0"/>
        </w:rPr>
        <w:t xml:space="preserve">: For some conditions, such as hypertension and diabetes, the script chooses the more severe comorbidity to report (e.g., only complicated diabetes is flagged if both forms are present).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2ak3iqp1n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Steps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ICD-9 Code Flagging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eliflg</w:t>
      </w:r>
      <w:r w:rsidDel="00000000" w:rsidR="00000000" w:rsidRPr="00000000">
        <w:rPr>
          <w:rtl w:val="0"/>
        </w:rPr>
        <w:t xml:space="preserve"> CTE):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processes the ICD-9 codes associated with hospital admissions.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admission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), a set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statements checks whether the ICD-9 code matches any in the predefined lists for each comorbidity.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ICD-9 code matches a condition, the corresponding flag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chf</w:t>
      </w:r>
      <w:r w:rsidDel="00000000" w:rsidR="00000000" w:rsidRPr="00000000">
        <w:rPr>
          <w:rtl w:val="0"/>
        </w:rPr>
        <w:t xml:space="preserve"> for congestive heart failure)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Patient-Level Comorbidity Flags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eligrp</w:t>
      </w:r>
      <w:r w:rsidDel="00000000" w:rsidR="00000000" w:rsidRPr="00000000">
        <w:rPr>
          <w:rtl w:val="0"/>
        </w:rPr>
        <w:t xml:space="preserve"> CTE):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Comorbidity flags are aggregated at the patient level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), and the maximum value is taken for each comorbidity. This ensures that if a patient has multiple ICD-9 codes for a comorbidity, it is only flagged once per admission.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Comorbidity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 merges the individual comorbidity flags and performs further processing for conditions like hypertension and diabetes.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resulting table lists each patient's admission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) and the presence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 of 30 comorbidities.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b5nxxp7wm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elixhauser_quan</w:t>
      </w:r>
      <w:r w:rsidDel="00000000" w:rsidR="00000000" w:rsidRPr="00000000">
        <w:rPr>
          <w:rtl w:val="0"/>
        </w:rPr>
        <w:t xml:space="preserve">, containing patient admissions with the following comorbidity flags: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Congestive heart failure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congestive_heart_failure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Cardiac arrhythmias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cardiac_arrhythmias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Valvular disease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valvular_disease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Pulmonary circulation disorders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pulmonary_circulation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Peripheral vascular disorders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peripheral_vascular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Hypertension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hypertension</w:t>
      </w:r>
      <w:r w:rsidDel="00000000" w:rsidR="00000000" w:rsidRPr="00000000">
        <w:rPr>
          <w:rtl w:val="0"/>
        </w:rPr>
        <w:t xml:space="preserve">) – combines uncomplicated and complicated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Diabetes (uncomplicated and complicated)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Neurological disorders, renal failure, liver disease, etc.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bk63k8qau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Query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all patients with congestive heart failure: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hadm_id FROM elixhauser_quan WHERE congestive_heart_failure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er47o332p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 Notes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Exclusion of Primary Diagnosis</w:t>
      </w:r>
      <w:r w:rsidDel="00000000" w:rsidR="00000000" w:rsidRPr="00000000">
        <w:rPr>
          <w:rtl w:val="0"/>
        </w:rPr>
        <w:t xml:space="preserve">: The script excludes the primary ICD-9 diagnosis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seq_num != 1</w:t>
      </w:r>
      <w:r w:rsidDel="00000000" w:rsidR="00000000" w:rsidRPr="00000000">
        <w:rPr>
          <w:rtl w:val="0"/>
        </w:rPr>
        <w:t xml:space="preserve">), focusing on secondary diagnoses to identify comorbidities.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: The list of ICD-9 codes can be modified to match updated definitions or include new conditions as needed.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x4bixobjo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automates the derivation of Elixhauser comorbidities from ICD-9 billing codes, facilitating the analysis of patient comorbidities for use in clinical research and outcomes prediction.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ubmed/162243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