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rbc_transfusion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script generates a table that captures instances of red blood cell transfusions for patients, utilizing data from various input event tables. It computes the total amount of transfusions and incorporates logic for handling missing values.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 The script references ITEMIDs associated with red blood cell transfusions from the CareVue and Metavision systems.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 The script first retrieves raw transfusion data, imputes amounts for missing values, and sums the transfusions pre-ICU. It then calculates cumulative transfusions and ensures that any transfusions started within one hour of the last one are considered part of the same event.</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Data Preparation</w:t>
      </w:r>
      <w:r w:rsidDel="00000000" w:rsidR="00000000" w:rsidRPr="00000000">
        <w:rPr>
          <w:rtl w:val="0"/>
        </w:rPr>
        <w:t xml:space="preserve">:</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raw_rbc</w:t>
      </w:r>
      <w:r w:rsidDel="00000000" w:rsidR="00000000" w:rsidRPr="00000000">
        <w:rPr>
          <w:rtl w:val="0"/>
        </w:rPr>
        <w:t xml:space="preserve"> CTE retrieves transfusion data from both inputevents_cv and inputevents_mv, applying logic to handle missing amounts.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Pre-ICU Transfusion Calculation</w:t>
      </w:r>
      <w:r w:rsidDel="00000000" w:rsidR="00000000" w:rsidRPr="00000000">
        <w:rPr>
          <w:rtl w:val="0"/>
        </w:rPr>
        <w:t xml:space="preserve">:</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pre_icu_rbc</w:t>
      </w:r>
      <w:r w:rsidDel="00000000" w:rsidR="00000000" w:rsidRPr="00000000">
        <w:rPr>
          <w:rtl w:val="0"/>
        </w:rPr>
        <w:t xml:space="preserve"> CTE sums the amounts of transfusions occurring before ICU admission for specific ITEMIDs.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Cumulative Calculation</w:t>
      </w:r>
      <w:r w:rsidDel="00000000" w:rsidR="00000000" w:rsidRPr="00000000">
        <w:rPr>
          <w:rtl w:val="0"/>
        </w:rPr>
        <w:t xml:space="preserve">:</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cumulative</w:t>
      </w:r>
      <w:r w:rsidDel="00000000" w:rsidR="00000000" w:rsidRPr="00000000">
        <w:rPr>
          <w:rtl w:val="0"/>
        </w:rPr>
        <w:t xml:space="preserve"> CTE computes the total transfusions per ICU stay while tracking the time differences between events.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Final Selection</w:t>
      </w:r>
      <w:r w:rsidDel="00000000" w:rsidR="00000000" w:rsidRPr="00000000">
        <w:rPr>
          <w:rtl w:val="0"/>
        </w:rPr>
        <w:t xml:space="preserv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The final SELECT statement retrieves the necessary details, including amounts and total transfusions, filtering by time conditions.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script produces a table containing:</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ICU stay identifier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Time of transfusion (</w:t>
      </w:r>
      <w:r w:rsidDel="00000000" w:rsidR="00000000" w:rsidRPr="00000000">
        <w:rPr>
          <w:rFonts w:ascii="Roboto Mono" w:cs="Roboto Mono" w:eastAsia="Roboto Mono" w:hAnsi="Roboto Mono"/>
          <w:color w:val="188038"/>
          <w:rtl w:val="0"/>
        </w:rPr>
        <w:t xml:space="preserve">charttime</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The amount of transfusion administered.</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The total amount of transfusions received.</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The unit of measurement for the amount.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rbc_transfusion;</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The script uses </w:t>
      </w:r>
      <w:r w:rsidDel="00000000" w:rsidR="00000000" w:rsidRPr="00000000">
        <w:rPr>
          <w:rFonts w:ascii="Roboto Mono" w:cs="Roboto Mono" w:eastAsia="Roboto Mono" w:hAnsi="Roboto Mono"/>
          <w:color w:val="188038"/>
          <w:rtl w:val="0"/>
        </w:rPr>
        <w:t xml:space="preserve">COALESCE</w:t>
      </w:r>
      <w:r w:rsidDel="00000000" w:rsidR="00000000" w:rsidRPr="00000000">
        <w:rPr>
          <w:rtl w:val="0"/>
        </w:rPr>
        <w:t xml:space="preserve"> to handle potential null values in amount calculations, ensuring robust data integrity.</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It applies explicit type casting to prevent errors related to data types, especially for rounding operations.</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This script effectively compiles and calculates red blood cell transfusion data for ICU patients, integrating multiple data sources and ensuring accurate assessments despite potential data gaps.</w:t>
      </w:r>
    </w:p>
    <w:p w:rsidR="00000000" w:rsidDel="00000000" w:rsidP="00000000" w:rsidRDefault="00000000" w:rsidRPr="00000000" w14:paraId="0000001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