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6EF2C" w14:textId="26C4246F" w:rsidR="004D4EF4" w:rsidRDefault="001C5B90" w:rsidP="004D4EF4">
      <w:pPr>
        <w:pStyle w:val="NormalWeb"/>
        <w:spacing w:before="0" w:beforeAutospacing="0" w:after="0" w:afterAutospacing="0" w:line="480" w:lineRule="auto"/>
        <w:rPr>
          <w:color w:val="000000"/>
        </w:rPr>
      </w:pPr>
      <w:r>
        <w:rPr>
          <w:b/>
          <w:bCs/>
          <w:color w:val="000000"/>
          <w:sz w:val="32"/>
          <w:szCs w:val="32"/>
        </w:rPr>
        <w:t>Genetic Basis of Gestational Diabetes in South-East Asian Women</w:t>
      </w:r>
    </w:p>
    <w:p w14:paraId="4C4262B8" w14:textId="31794B40" w:rsidR="004D4EF4" w:rsidRDefault="004D4EF4" w:rsidP="004D4EF4">
      <w:pPr>
        <w:pStyle w:val="NormalWeb"/>
        <w:spacing w:before="0" w:beforeAutospacing="0" w:after="0" w:afterAutospacing="0" w:line="480" w:lineRule="auto"/>
        <w:rPr>
          <w:color w:val="000000"/>
        </w:rPr>
      </w:pPr>
      <w:r>
        <w:rPr>
          <w:b/>
          <w:bCs/>
          <w:color w:val="000000"/>
        </w:rPr>
        <w:t>Kyle Share</w:t>
      </w:r>
      <w:r w:rsidR="001C5B90">
        <w:rPr>
          <w:b/>
          <w:bCs/>
          <w:color w:val="000000"/>
        </w:rPr>
        <w:t xml:space="preserve"> and Professor Kinkhabwala</w:t>
      </w:r>
    </w:p>
    <w:p w14:paraId="29D210E0" w14:textId="4C1117AD" w:rsidR="004D4EF4" w:rsidRDefault="004D4EF4" w:rsidP="004D4EF4">
      <w:pPr>
        <w:pStyle w:val="NormalWeb"/>
        <w:spacing w:before="0" w:beforeAutospacing="0" w:after="0" w:afterAutospacing="0" w:line="480" w:lineRule="auto"/>
        <w:rPr>
          <w:color w:val="000000"/>
        </w:rPr>
      </w:pPr>
      <w:r>
        <w:rPr>
          <w:color w:val="000000"/>
        </w:rPr>
        <w:t xml:space="preserve">Department of </w:t>
      </w:r>
      <w:r w:rsidR="001C5B90">
        <w:rPr>
          <w:color w:val="000000"/>
        </w:rPr>
        <w:t>Biology</w:t>
      </w:r>
      <w:r>
        <w:rPr>
          <w:color w:val="000000"/>
        </w:rPr>
        <w:t>, Occidental College, Los Angeles, CA</w:t>
      </w:r>
    </w:p>
    <w:p w14:paraId="7ADE27A8" w14:textId="77777777" w:rsidR="004D4EF4" w:rsidRDefault="004D4EF4" w:rsidP="004D4EF4">
      <w:pPr>
        <w:spacing w:after="240"/>
      </w:pPr>
    </w:p>
    <w:p w14:paraId="37A44068" w14:textId="77777777" w:rsidR="004D4EF4" w:rsidRDefault="004D4EF4" w:rsidP="004D4EF4"/>
    <w:p w14:paraId="3FE5DE30" w14:textId="1A68FD70" w:rsidR="00A00325" w:rsidRPr="00A00325" w:rsidRDefault="00A00325" w:rsidP="00A00325">
      <w:pPr>
        <w:pStyle w:val="Heading2"/>
        <w:rPr>
          <w:rFonts w:ascii="Times New Roman" w:hAnsi="Times New Roman" w:cs="Times New Roman"/>
          <w:b/>
          <w:bCs/>
        </w:rPr>
      </w:pPr>
      <w:r w:rsidRPr="00A00325">
        <w:rPr>
          <w:rFonts w:ascii="Times New Roman" w:hAnsi="Times New Roman" w:cs="Times New Roman"/>
          <w:b/>
          <w:bCs/>
        </w:rPr>
        <w:t>Introduction and Background</w:t>
      </w:r>
    </w:p>
    <w:p w14:paraId="786690E7" w14:textId="320833BB" w:rsidR="00D72F77" w:rsidRPr="00D72F77" w:rsidRDefault="00767268" w:rsidP="00D72F77">
      <w:pPr>
        <w:pStyle w:val="ListBullet"/>
        <w:numPr>
          <w:ilvl w:val="0"/>
          <w:numId w:val="0"/>
        </w:numPr>
        <w:spacing w:before="240" w:line="480" w:lineRule="auto"/>
        <w:ind w:firstLine="720"/>
        <w:rPr>
          <w:rFonts w:ascii="Times New Roman" w:hAnsi="Times New Roman" w:cs="Times New Roman"/>
        </w:rPr>
      </w:pPr>
      <w:r w:rsidRPr="00C34A15">
        <w:rPr>
          <w:rFonts w:ascii="Times New Roman" w:hAnsi="Times New Roman" w:cs="Times New Roman"/>
        </w:rPr>
        <w:t>Gestational diabetes (GDM) is one of the most common pregnancy complications affecting, on average, 14 of every 100 pregnancies worldwide.</w:t>
      </w:r>
      <w:r w:rsidRPr="00C34A15">
        <w:rPr>
          <w:rStyle w:val="FootnoteReference"/>
          <w:rFonts w:ascii="Times New Roman" w:hAnsi="Times New Roman" w:cs="Times New Roman"/>
        </w:rPr>
        <w:footnoteReference w:id="1"/>
      </w:r>
      <w:r w:rsidRPr="00C34A15">
        <w:rPr>
          <w:rFonts w:ascii="Times New Roman" w:hAnsi="Times New Roman" w:cs="Times New Roman"/>
        </w:rPr>
        <w:t xml:space="preserve"> </w:t>
      </w:r>
      <w:r w:rsidR="00511126" w:rsidRPr="00C34A15">
        <w:rPr>
          <w:rFonts w:ascii="Times New Roman" w:hAnsi="Times New Roman" w:cs="Times New Roman"/>
        </w:rPr>
        <w:t>GDM arises from the normal interaction between placental hormones and insulin, where the mother’s body undergoes several physiological changes to supply the fetus with a continuous and adequate supply of glucose.</w:t>
      </w:r>
      <w:r w:rsidR="00511126" w:rsidRPr="00C34A15">
        <w:rPr>
          <w:rStyle w:val="FootnoteReference"/>
          <w:rFonts w:ascii="Times New Roman" w:hAnsi="Times New Roman" w:cs="Times New Roman"/>
        </w:rPr>
        <w:footnoteReference w:id="2"/>
      </w:r>
      <w:r w:rsidR="00511126" w:rsidRPr="00C34A15">
        <w:rPr>
          <w:rFonts w:ascii="Times New Roman" w:hAnsi="Times New Roman" w:cs="Times New Roman"/>
        </w:rPr>
        <w:t xml:space="preserve"> </w:t>
      </w:r>
      <w:r w:rsidR="00511126" w:rsidRPr="00C34A15">
        <w:rPr>
          <w:rFonts w:ascii="Times New Roman" w:hAnsi="Times New Roman" w:cs="Times New Roman"/>
        </w:rPr>
        <w:t xml:space="preserve">Yet, when the mother’s body fails to compensate for naturally increasing insulin resistance, their blood sugars will rise, leading to GDM. </w:t>
      </w:r>
      <w:r w:rsidRPr="00C34A15">
        <w:rPr>
          <w:rFonts w:ascii="Times New Roman" w:hAnsi="Times New Roman" w:cs="Times New Roman"/>
        </w:rPr>
        <w:t>This may cause macrosomia, premature birth, hypoglycemia, and obesity or Type 2 Diabetes (T2D) later in life for the fetus.</w:t>
      </w:r>
      <w:r w:rsidRPr="00C34A15">
        <w:rPr>
          <w:rStyle w:val="FootnoteReference"/>
          <w:rFonts w:ascii="Times New Roman" w:hAnsi="Times New Roman" w:cs="Times New Roman"/>
        </w:rPr>
        <w:footnoteReference w:id="3"/>
      </w:r>
      <w:r w:rsidRPr="00C34A15">
        <w:rPr>
          <w:rFonts w:ascii="Times New Roman" w:hAnsi="Times New Roman" w:cs="Times New Roman"/>
        </w:rPr>
        <w:t xml:space="preserve"> Given these</w:t>
      </w:r>
      <w:r w:rsidR="00511126" w:rsidRPr="00C34A15">
        <w:rPr>
          <w:rFonts w:ascii="Times New Roman" w:hAnsi="Times New Roman" w:cs="Times New Roman"/>
        </w:rPr>
        <w:t xml:space="preserve"> </w:t>
      </w:r>
      <w:r w:rsidRPr="00C34A15">
        <w:rPr>
          <w:rFonts w:ascii="Times New Roman" w:hAnsi="Times New Roman" w:cs="Times New Roman"/>
        </w:rPr>
        <w:t>consequences, understanding the causes of and developing treatments for GDM are of critical importance, particularly in North Africa and South-East Asia which feature the highest levels of GDM at 27.6% and 20.8% respectively.</w:t>
      </w:r>
      <w:r w:rsidRPr="00C34A15">
        <w:rPr>
          <w:rStyle w:val="FootnoteReference"/>
          <w:rFonts w:ascii="Times New Roman" w:hAnsi="Times New Roman" w:cs="Times New Roman"/>
        </w:rPr>
        <w:footnoteReference w:id="4"/>
      </w:r>
      <w:r w:rsidR="00511126" w:rsidRPr="00C34A15">
        <w:rPr>
          <w:rFonts w:ascii="Times New Roman" w:hAnsi="Times New Roman" w:cs="Times New Roman"/>
        </w:rPr>
        <w:t xml:space="preserve"> </w:t>
      </w:r>
      <w:r w:rsidR="00511126" w:rsidRPr="00C34A15">
        <w:rPr>
          <w:rFonts w:ascii="Times New Roman" w:hAnsi="Times New Roman" w:cs="Times New Roman"/>
        </w:rPr>
        <w:t xml:space="preserve">Still, a precise and complete molecular explanation for GDM’s development remains elusive due to the sheer complexity of pregnancy and the number of physiological changes to the mother’s body. </w:t>
      </w:r>
      <w:r w:rsidR="00C66354" w:rsidRPr="00C34A15">
        <w:rPr>
          <w:rFonts w:ascii="Times New Roman" w:hAnsi="Times New Roman" w:cs="Times New Roman"/>
        </w:rPr>
        <w:t xml:space="preserve">Thus, </w:t>
      </w:r>
      <w:r w:rsidR="00511126" w:rsidRPr="00C34A15">
        <w:rPr>
          <w:rFonts w:ascii="Times New Roman" w:hAnsi="Times New Roman" w:cs="Times New Roman"/>
        </w:rPr>
        <w:t xml:space="preserve">researchers employ specific </w:t>
      </w:r>
      <w:r w:rsidR="00C66354" w:rsidRPr="00C34A15">
        <w:rPr>
          <w:rFonts w:ascii="Times New Roman" w:hAnsi="Times New Roman" w:cs="Times New Roman"/>
        </w:rPr>
        <w:t xml:space="preserve">computational biology techniques </w:t>
      </w:r>
      <w:r w:rsidR="00511126" w:rsidRPr="00C34A15">
        <w:rPr>
          <w:rFonts w:ascii="Times New Roman" w:hAnsi="Times New Roman" w:cs="Times New Roman"/>
        </w:rPr>
        <w:t xml:space="preserve">which </w:t>
      </w:r>
      <w:r w:rsidR="00C66354" w:rsidRPr="00C34A15">
        <w:rPr>
          <w:rFonts w:ascii="Times New Roman" w:hAnsi="Times New Roman" w:cs="Times New Roman"/>
        </w:rPr>
        <w:t xml:space="preserve">offer </w:t>
      </w:r>
      <w:r w:rsidR="00511126" w:rsidRPr="00C34A15">
        <w:rPr>
          <w:rFonts w:ascii="Times New Roman" w:hAnsi="Times New Roman" w:cs="Times New Roman"/>
        </w:rPr>
        <w:t>the</w:t>
      </w:r>
      <w:r w:rsidR="00C66354" w:rsidRPr="00C34A15">
        <w:rPr>
          <w:rFonts w:ascii="Times New Roman" w:hAnsi="Times New Roman" w:cs="Times New Roman"/>
        </w:rPr>
        <w:t xml:space="preserve"> unparalleled ability to examine significant markers of GDM </w:t>
      </w:r>
      <w:r w:rsidR="00C66354" w:rsidRPr="00C34A15">
        <w:rPr>
          <w:rFonts w:ascii="Times New Roman" w:hAnsi="Times New Roman" w:cs="Times New Roman"/>
        </w:rPr>
        <w:lastRenderedPageBreak/>
        <w:t xml:space="preserve">within the genome. By performing a Genome-Wide Association Study (GWAS), </w:t>
      </w:r>
      <w:r w:rsidR="00511126" w:rsidRPr="00C34A15">
        <w:rPr>
          <w:rFonts w:ascii="Times New Roman" w:hAnsi="Times New Roman" w:cs="Times New Roman"/>
        </w:rPr>
        <w:t>researchers can identify single nucleotide polymorphisms (SNPs) which statistically link genomic alleles to the presence of GDM.</w:t>
      </w:r>
    </w:p>
    <w:p w14:paraId="62546A25" w14:textId="77777777" w:rsidR="00D72F77" w:rsidRDefault="00D72F77" w:rsidP="00A00325">
      <w:pPr>
        <w:pStyle w:val="Heading2"/>
        <w:rPr>
          <w:rFonts w:ascii="Times New Roman" w:hAnsi="Times New Roman" w:cs="Times New Roman"/>
          <w:b/>
          <w:bCs/>
        </w:rPr>
      </w:pPr>
    </w:p>
    <w:p w14:paraId="26FFD07A" w14:textId="692F9AD9" w:rsidR="00A00325" w:rsidRPr="00A00325" w:rsidRDefault="00A00325" w:rsidP="00A00325">
      <w:pPr>
        <w:pStyle w:val="Heading2"/>
        <w:rPr>
          <w:rFonts w:ascii="Times New Roman" w:hAnsi="Times New Roman" w:cs="Times New Roman"/>
          <w:b/>
          <w:bCs/>
        </w:rPr>
      </w:pPr>
      <w:r>
        <w:rPr>
          <w:rFonts w:ascii="Times New Roman" w:hAnsi="Times New Roman" w:cs="Times New Roman"/>
          <w:b/>
          <w:bCs/>
        </w:rPr>
        <w:t>Results</w:t>
      </w:r>
    </w:p>
    <w:p w14:paraId="35A931B8" w14:textId="62732783" w:rsidR="008B5530" w:rsidRPr="00187E91" w:rsidRDefault="00511126" w:rsidP="00D72F77">
      <w:pPr>
        <w:pStyle w:val="ListBullet"/>
        <w:numPr>
          <w:ilvl w:val="0"/>
          <w:numId w:val="0"/>
        </w:numPr>
        <w:spacing w:before="240" w:line="480" w:lineRule="auto"/>
        <w:ind w:firstLine="720"/>
        <w:rPr>
          <w:rFonts w:ascii="Times New Roman" w:hAnsi="Times New Roman" w:cs="Times New Roman"/>
        </w:rPr>
      </w:pPr>
      <w:r w:rsidRPr="00C34A15">
        <w:rPr>
          <w:rFonts w:ascii="Times New Roman" w:hAnsi="Times New Roman" w:cs="Times New Roman"/>
        </w:rPr>
        <w:t xml:space="preserve">To test for GDM in pregnant mothers, doctors will perform an oral glucose tolerance test (OGTT) and analyze their blood sugars </w:t>
      </w:r>
      <w:r w:rsidR="00045E13">
        <w:rPr>
          <w:rFonts w:ascii="Times New Roman" w:hAnsi="Times New Roman" w:cs="Times New Roman"/>
        </w:rPr>
        <w:t>after two hours</w:t>
      </w:r>
      <w:r w:rsidRPr="00C34A15">
        <w:rPr>
          <w:rFonts w:ascii="Times New Roman" w:hAnsi="Times New Roman" w:cs="Times New Roman"/>
        </w:rPr>
        <w:t xml:space="preserve">. Healthy mothers </w:t>
      </w:r>
      <w:r w:rsidR="00E86908" w:rsidRPr="00C34A15">
        <w:rPr>
          <w:rFonts w:ascii="Times New Roman" w:hAnsi="Times New Roman" w:cs="Times New Roman"/>
        </w:rPr>
        <w:t>can metabolize</w:t>
      </w:r>
      <w:r w:rsidRPr="00C34A15">
        <w:rPr>
          <w:rFonts w:ascii="Times New Roman" w:hAnsi="Times New Roman" w:cs="Times New Roman"/>
        </w:rPr>
        <w:t xml:space="preserve"> high glucose levels relatively quickly whereas those with GDM will retain high blood glucose levels for several hours before falling back to baseline levels.</w:t>
      </w:r>
      <w:r w:rsidR="00E86908" w:rsidRPr="00C34A15">
        <w:rPr>
          <w:rFonts w:ascii="Times New Roman" w:hAnsi="Times New Roman" w:cs="Times New Roman"/>
        </w:rPr>
        <w:t xml:space="preserve"> To discover the genetic basis for GDM, researchers linked these results to each mother’s genome taken from non-invasive prenatal test sequencing data.</w:t>
      </w:r>
      <w:r w:rsidR="00E86908" w:rsidRPr="00C34A15">
        <w:rPr>
          <w:rStyle w:val="FootnoteReference"/>
          <w:rFonts w:ascii="Times New Roman" w:hAnsi="Times New Roman" w:cs="Times New Roman"/>
        </w:rPr>
        <w:footnoteReference w:id="5"/>
      </w:r>
      <w:r w:rsidR="00E86908" w:rsidRPr="00C34A15">
        <w:rPr>
          <w:rFonts w:ascii="Times New Roman" w:hAnsi="Times New Roman" w:cs="Times New Roman"/>
        </w:rPr>
        <w:t xml:space="preserve"> </w:t>
      </w:r>
      <w:r w:rsidR="00121AD3" w:rsidRPr="00C34A15">
        <w:rPr>
          <w:rFonts w:ascii="Times New Roman" w:hAnsi="Times New Roman" w:cs="Times New Roman"/>
        </w:rPr>
        <w:t>Using</w:t>
      </w:r>
      <w:r w:rsidR="00E86908" w:rsidRPr="00C34A15">
        <w:rPr>
          <w:rFonts w:ascii="Times New Roman" w:hAnsi="Times New Roman" w:cs="Times New Roman"/>
        </w:rPr>
        <w:t xml:space="preserve"> this data, </w:t>
      </w:r>
      <w:r w:rsidR="00121AD3" w:rsidRPr="00C34A15">
        <w:rPr>
          <w:rFonts w:ascii="Times New Roman" w:hAnsi="Times New Roman" w:cs="Times New Roman"/>
        </w:rPr>
        <w:t xml:space="preserve">we </w:t>
      </w:r>
      <w:r w:rsidR="00E86908" w:rsidRPr="00C34A15">
        <w:rPr>
          <w:rFonts w:ascii="Times New Roman" w:hAnsi="Times New Roman" w:cs="Times New Roman"/>
        </w:rPr>
        <w:t>constructed a Manhattan plot (</w:t>
      </w:r>
      <w:r w:rsidR="00E86908" w:rsidRPr="00C34A15">
        <w:rPr>
          <w:rFonts w:ascii="Times New Roman" w:hAnsi="Times New Roman" w:cs="Times New Roman"/>
          <w:b/>
          <w:bCs/>
        </w:rPr>
        <w:t>Figure 1</w:t>
      </w:r>
      <w:r w:rsidR="00E86908" w:rsidRPr="00C34A15">
        <w:rPr>
          <w:rFonts w:ascii="Times New Roman" w:hAnsi="Times New Roman" w:cs="Times New Roman"/>
        </w:rPr>
        <w:t xml:space="preserve">) which demonstrates the most significant shared SNPs between mothers with GDM compared to the baseline population. </w:t>
      </w:r>
      <w:r w:rsidR="00121AD3" w:rsidRPr="00C34A15">
        <w:rPr>
          <w:rFonts w:ascii="Times New Roman" w:hAnsi="Times New Roman" w:cs="Times New Roman"/>
        </w:rPr>
        <w:t xml:space="preserve">Each SNP </w:t>
      </w:r>
      <w:r w:rsidR="00FD13C6" w:rsidRPr="00C34A15">
        <w:rPr>
          <w:rFonts w:ascii="Times New Roman" w:hAnsi="Times New Roman" w:cs="Times New Roman"/>
        </w:rPr>
        <w:t>was plotted according to their sequential 3’ to 5’ base pair location on the x-axis and the -log</w:t>
      </w:r>
      <w:r w:rsidR="00FD13C6" w:rsidRPr="00C34A15">
        <w:rPr>
          <w:rFonts w:ascii="Times New Roman" w:hAnsi="Times New Roman" w:cs="Times New Roman"/>
          <w:vertAlign w:val="subscript"/>
        </w:rPr>
        <w:t>10</w:t>
      </w:r>
      <w:r w:rsidR="00FD13C6" w:rsidRPr="00C34A15">
        <w:rPr>
          <w:rFonts w:ascii="Times New Roman" w:hAnsi="Times New Roman" w:cs="Times New Roman"/>
        </w:rPr>
        <w:t xml:space="preserve">(p-value) on the y-axis. The </w:t>
      </w:r>
      <w:r w:rsidR="00DE60E4" w:rsidRPr="00C34A15">
        <w:rPr>
          <w:rFonts w:ascii="Times New Roman" w:hAnsi="Times New Roman" w:cs="Times New Roman"/>
        </w:rPr>
        <w:t xml:space="preserve">resulting </w:t>
      </w:r>
      <w:r w:rsidR="00DE60E4" w:rsidRPr="00C34A15">
        <w:rPr>
          <w:rFonts w:ascii="Times New Roman" w:hAnsi="Times New Roman" w:cs="Times New Roman"/>
          <w:b/>
          <w:bCs/>
        </w:rPr>
        <w:t>Figure 1</w:t>
      </w:r>
      <w:r w:rsidR="00FD13C6" w:rsidRPr="00C34A15">
        <w:rPr>
          <w:rFonts w:ascii="Times New Roman" w:hAnsi="Times New Roman" w:cs="Times New Roman"/>
        </w:rPr>
        <w:t xml:space="preserve"> </w:t>
      </w:r>
      <w:r w:rsidR="004D469A" w:rsidRPr="00C34A15">
        <w:rPr>
          <w:rFonts w:ascii="Times New Roman" w:hAnsi="Times New Roman" w:cs="Times New Roman"/>
        </w:rPr>
        <w:t>illustrates</w:t>
      </w:r>
      <w:r w:rsidR="00FD13C6" w:rsidRPr="00C34A15">
        <w:rPr>
          <w:rFonts w:ascii="Times New Roman" w:hAnsi="Times New Roman" w:cs="Times New Roman"/>
        </w:rPr>
        <w:t xml:space="preserve"> the mutations most closely associated with GDM.</w:t>
      </w:r>
      <w:r w:rsidR="00DE60E4" w:rsidRPr="00C34A15">
        <w:rPr>
          <w:rFonts w:ascii="Times New Roman" w:hAnsi="Times New Roman" w:cs="Times New Roman"/>
        </w:rPr>
        <w:t xml:space="preserve"> Although these entries denote the most statistically significant mutations to GDM, these results potentially obscure SNPs with slightly lower p-values yet feature </w:t>
      </w:r>
      <w:r w:rsidR="004D469A" w:rsidRPr="00C34A15">
        <w:rPr>
          <w:rFonts w:ascii="Times New Roman" w:hAnsi="Times New Roman" w:cs="Times New Roman"/>
        </w:rPr>
        <w:t>large</w:t>
      </w:r>
      <w:r w:rsidR="00DE60E4" w:rsidRPr="00C34A15">
        <w:rPr>
          <w:rFonts w:ascii="Times New Roman" w:hAnsi="Times New Roman" w:cs="Times New Roman"/>
        </w:rPr>
        <w:t xml:space="preserve"> beta values — the degree to which a given SNP affects the severity of GDM. Th</w:t>
      </w:r>
      <w:r w:rsidR="004D469A" w:rsidRPr="00C34A15">
        <w:rPr>
          <w:rFonts w:ascii="Times New Roman" w:hAnsi="Times New Roman" w:cs="Times New Roman"/>
        </w:rPr>
        <w:t>us, for all chromosomes with significant SNPs, we plotted the largest three Reference SNP cluster IDs (</w:t>
      </w:r>
      <w:proofErr w:type="spellStart"/>
      <w:r w:rsidR="004D469A" w:rsidRPr="00C34A15">
        <w:rPr>
          <w:rFonts w:ascii="Times New Roman" w:hAnsi="Times New Roman" w:cs="Times New Roman"/>
        </w:rPr>
        <w:t>rsIDs</w:t>
      </w:r>
      <w:proofErr w:type="spellEnd"/>
      <w:r w:rsidR="004D469A" w:rsidRPr="00C34A15">
        <w:rPr>
          <w:rFonts w:ascii="Times New Roman" w:hAnsi="Times New Roman" w:cs="Times New Roman"/>
        </w:rPr>
        <w:t xml:space="preserve">) with the largest beta values for each chromosome as reflected by the annotations in </w:t>
      </w:r>
      <w:r w:rsidR="004D469A" w:rsidRPr="00C34A15">
        <w:rPr>
          <w:rFonts w:ascii="Times New Roman" w:hAnsi="Times New Roman" w:cs="Times New Roman"/>
          <w:b/>
          <w:bCs/>
        </w:rPr>
        <w:t>Figure 1</w:t>
      </w:r>
      <w:r w:rsidR="004D469A" w:rsidRPr="00C34A15">
        <w:rPr>
          <w:rFonts w:ascii="Times New Roman" w:hAnsi="Times New Roman" w:cs="Times New Roman"/>
        </w:rPr>
        <w:t>.</w:t>
      </w:r>
    </w:p>
    <w:p w14:paraId="22FC1745" w14:textId="77777777" w:rsidR="00187E91" w:rsidRDefault="00187E91" w:rsidP="00187E91">
      <w:pPr>
        <w:pStyle w:val="ListBullet"/>
        <w:keepNext/>
        <w:numPr>
          <w:ilvl w:val="0"/>
          <w:numId w:val="0"/>
        </w:numPr>
        <w:rPr>
          <w:rFonts w:ascii="Times New Roman" w:hAnsi="Times New Roman" w:cs="Times New Roman"/>
          <w:sz w:val="18"/>
          <w:szCs w:val="18"/>
        </w:rPr>
      </w:pPr>
    </w:p>
    <w:p w14:paraId="20380561" w14:textId="77777777" w:rsidR="00187E91" w:rsidRDefault="00187E91" w:rsidP="00187E91">
      <w:pPr>
        <w:pStyle w:val="ListBullet"/>
        <w:keepNext/>
        <w:numPr>
          <w:ilvl w:val="0"/>
          <w:numId w:val="0"/>
        </w:numPr>
        <w:rPr>
          <w:rFonts w:ascii="Times New Roman" w:hAnsi="Times New Roman" w:cs="Times New Roman"/>
          <w:sz w:val="18"/>
          <w:szCs w:val="18"/>
        </w:rPr>
      </w:pPr>
    </w:p>
    <w:p w14:paraId="239EB5D2" w14:textId="3C158264" w:rsidR="00FD13C6" w:rsidRPr="008B5530" w:rsidRDefault="00187E91" w:rsidP="00187E91">
      <w:pPr>
        <w:pStyle w:val="ListBullet"/>
        <w:keepNext/>
        <w:numPr>
          <w:ilvl w:val="0"/>
          <w:numId w:val="0"/>
        </w:numPr>
        <w:rPr>
          <w:rFonts w:ascii="Times New Roman" w:hAnsi="Times New Roman" w:cs="Times New Roman"/>
          <w:sz w:val="18"/>
          <w:szCs w:val="18"/>
        </w:rPr>
      </w:pPr>
      <w:r>
        <w:rPr>
          <w:noProof/>
        </w:rPr>
        <mc:AlternateContent>
          <mc:Choice Requires="wps">
            <w:drawing>
              <wp:anchor distT="0" distB="0" distL="114300" distR="114300" simplePos="0" relativeHeight="251663360" behindDoc="1" locked="0" layoutInCell="1" allowOverlap="1" wp14:anchorId="67BF9FC3" wp14:editId="51A52A39">
                <wp:simplePos x="0" y="0"/>
                <wp:positionH relativeFrom="column">
                  <wp:posOffset>0</wp:posOffset>
                </wp:positionH>
                <wp:positionV relativeFrom="paragraph">
                  <wp:posOffset>1534160</wp:posOffset>
                </wp:positionV>
                <wp:extent cx="5943600" cy="635"/>
                <wp:effectExtent l="0" t="0" r="0" b="635"/>
                <wp:wrapTight wrapText="bothSides">
                  <wp:wrapPolygon edited="0">
                    <wp:start x="0" y="0"/>
                    <wp:lineTo x="0" y="21122"/>
                    <wp:lineTo x="21554" y="21122"/>
                    <wp:lineTo x="21554" y="0"/>
                    <wp:lineTo x="0" y="0"/>
                  </wp:wrapPolygon>
                </wp:wrapTight>
                <wp:docPr id="23300550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txbx>
                        <w:txbxContent>
                          <w:p w14:paraId="7E533B2B" w14:textId="52D4FBDD" w:rsidR="00187E91" w:rsidRPr="004416AC" w:rsidRDefault="00187E91" w:rsidP="00187E91">
                            <w:pPr>
                              <w:pStyle w:val="Caption"/>
                              <w:rPr>
                                <w:rFonts w:ascii="Times New Roman" w:hAnsi="Times New Roman" w:cs="Times New Roman"/>
                              </w:rPr>
                            </w:pPr>
                            <w:r w:rsidRPr="00187E91">
                              <w:rPr>
                                <w:b/>
                                <w:bCs/>
                              </w:rPr>
                              <w:t xml:space="preserve">Figure </w:t>
                            </w:r>
                            <w:r w:rsidRPr="00187E91">
                              <w:rPr>
                                <w:b/>
                                <w:bCs/>
                              </w:rPr>
                              <w:fldChar w:fldCharType="begin"/>
                            </w:r>
                            <w:r w:rsidRPr="00187E91">
                              <w:rPr>
                                <w:b/>
                                <w:bCs/>
                              </w:rPr>
                              <w:instrText xml:space="preserve"> SEQ Figure \* ARABIC </w:instrText>
                            </w:r>
                            <w:r w:rsidRPr="00187E91">
                              <w:rPr>
                                <w:b/>
                                <w:bCs/>
                              </w:rPr>
                              <w:fldChar w:fldCharType="separate"/>
                            </w:r>
                            <w:r w:rsidRPr="00187E91">
                              <w:rPr>
                                <w:b/>
                                <w:bCs/>
                                <w:noProof/>
                              </w:rPr>
                              <w:t>1</w:t>
                            </w:r>
                            <w:r w:rsidRPr="00187E91">
                              <w:rPr>
                                <w:b/>
                                <w:bCs/>
                              </w:rPr>
                              <w:fldChar w:fldCharType="end"/>
                            </w:r>
                            <w:r w:rsidRPr="00187E91">
                              <w:rPr>
                                <w:b/>
                                <w:bCs/>
                              </w:rPr>
                              <w:t>: Oral Glucose Tolerance Test 2-Hour Manhattan Plot.</w:t>
                            </w:r>
                            <w:r w:rsidRPr="00AF1CF7">
                              <w:t xml:space="preserve"> Baseline and 2-hour blood glucose levels were measured for all participants following ingestion of 75 grams of glucose. Data was analyzed according to the phenotypic definition of GDM for OGTT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BF9FC3" id="_x0000_t202" coordsize="21600,21600" o:spt="202" path="m,l,21600r21600,l21600,xe">
                <v:stroke joinstyle="miter"/>
                <v:path gradientshapeok="t" o:connecttype="rect"/>
              </v:shapetype>
              <v:shape id="Text Box 1" o:spid="_x0000_s1026" type="#_x0000_t202" style="position:absolute;margin-left:0;margin-top:120.8pt;width:468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" filled="f" stroked="f">
                <v:textbox style="mso-fit-shape-to-text:t" inset="0,0,0,0">
                  <w:txbxContent>
                    <w:p w14:paraId="7E533B2B" w14:textId="52D4FBDD" w:rsidR="00187E91" w:rsidRPr="004416AC" w:rsidRDefault="00187E91" w:rsidP="00187E91">
                      <w:pPr>
                        <w:pStyle w:val="Caption"/>
                        <w:rPr>
                          <w:rFonts w:ascii="Times New Roman" w:hAnsi="Times New Roman" w:cs="Times New Roman"/>
                        </w:rPr>
                      </w:pPr>
                      <w:r w:rsidRPr="00187E91">
                        <w:rPr>
                          <w:b/>
                          <w:bCs/>
                        </w:rPr>
                        <w:t xml:space="preserve">Figure </w:t>
                      </w:r>
                      <w:r w:rsidRPr="00187E91">
                        <w:rPr>
                          <w:b/>
                          <w:bCs/>
                        </w:rPr>
                        <w:fldChar w:fldCharType="begin"/>
                      </w:r>
                      <w:r w:rsidRPr="00187E91">
                        <w:rPr>
                          <w:b/>
                          <w:bCs/>
                        </w:rPr>
                        <w:instrText xml:space="preserve"> SEQ Figure \* ARABIC </w:instrText>
                      </w:r>
                      <w:r w:rsidRPr="00187E91">
                        <w:rPr>
                          <w:b/>
                          <w:bCs/>
                        </w:rPr>
                        <w:fldChar w:fldCharType="separate"/>
                      </w:r>
                      <w:r w:rsidRPr="00187E91">
                        <w:rPr>
                          <w:b/>
                          <w:bCs/>
                          <w:noProof/>
                        </w:rPr>
                        <w:t>1</w:t>
                      </w:r>
                      <w:r w:rsidRPr="00187E91">
                        <w:rPr>
                          <w:b/>
                          <w:bCs/>
                        </w:rPr>
                        <w:fldChar w:fldCharType="end"/>
                      </w:r>
                      <w:r w:rsidRPr="00187E91">
                        <w:rPr>
                          <w:b/>
                          <w:bCs/>
                        </w:rPr>
                        <w:t>: Oral Glucose Tolerance Test 2-Hour Manhattan Plot.</w:t>
                      </w:r>
                      <w:r w:rsidRPr="00AF1CF7">
                        <w:t xml:space="preserve"> Baseline and 2-hour blood glucose levels were measured for all participants following ingestion of 75 grams of glucose. Data was analyzed according to the phenotypic definition of GDM for OGTT</w:t>
                      </w:r>
                    </w:p>
                  </w:txbxContent>
                </v:textbox>
                <w10:wrap type="tight"/>
              </v:shape>
            </w:pict>
          </mc:Fallback>
        </mc:AlternateContent>
      </w:r>
      <w:r w:rsidR="008B5530" w:rsidRPr="008B5530">
        <w:rPr>
          <w:rFonts w:ascii="Times New Roman" w:hAnsi="Times New Roman" w:cs="Times New Roman"/>
          <w:sz w:val="18"/>
          <w:szCs w:val="18"/>
        </w:rPr>
        <w:drawing>
          <wp:anchor distT="0" distB="0" distL="114300" distR="114300" simplePos="0" relativeHeight="251659264" behindDoc="1" locked="0" layoutInCell="1" allowOverlap="1" wp14:anchorId="5538A8AF" wp14:editId="6133E6E5">
            <wp:simplePos x="0" y="0"/>
            <wp:positionH relativeFrom="column">
              <wp:posOffset>-428</wp:posOffset>
            </wp:positionH>
            <wp:positionV relativeFrom="paragraph">
              <wp:posOffset>0</wp:posOffset>
            </wp:positionV>
            <wp:extent cx="5943600" cy="1477010"/>
            <wp:effectExtent l="0" t="0" r="0" b="0"/>
            <wp:wrapTight wrapText="bothSides">
              <wp:wrapPolygon edited="0">
                <wp:start x="0" y="0"/>
                <wp:lineTo x="0" y="21359"/>
                <wp:lineTo x="21554" y="21359"/>
                <wp:lineTo x="21554" y="0"/>
                <wp:lineTo x="0" y="0"/>
              </wp:wrapPolygon>
            </wp:wrapTight>
            <wp:docPr id="120647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7145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77010"/>
                    </a:xfrm>
                    <a:prstGeom prst="rect">
                      <a:avLst/>
                    </a:prstGeom>
                  </pic:spPr>
                </pic:pic>
              </a:graphicData>
            </a:graphic>
            <wp14:sizeRelH relativeFrom="page">
              <wp14:pctWidth>0</wp14:pctWidth>
            </wp14:sizeRelH>
            <wp14:sizeRelV relativeFrom="page">
              <wp14:pctHeight>0</wp14:pctHeight>
            </wp14:sizeRelV>
          </wp:anchor>
        </w:drawing>
      </w:r>
    </w:p>
    <w:p w14:paraId="42F18C53" w14:textId="77777777" w:rsidR="008B5530" w:rsidRDefault="008B5530" w:rsidP="008B5530">
      <w:pPr>
        <w:pStyle w:val="ListBullet"/>
        <w:numPr>
          <w:ilvl w:val="0"/>
          <w:numId w:val="0"/>
        </w:numPr>
        <w:ind w:firstLine="720"/>
        <w:rPr>
          <w:rFonts w:ascii="Times New Roman" w:hAnsi="Times New Roman" w:cs="Times New Roman"/>
        </w:rPr>
      </w:pPr>
    </w:p>
    <w:p w14:paraId="5E0F62B7" w14:textId="77777777" w:rsidR="00187E91" w:rsidRDefault="00187E91" w:rsidP="004D4EF4">
      <w:pPr>
        <w:pStyle w:val="ListBullet"/>
        <w:numPr>
          <w:ilvl w:val="0"/>
          <w:numId w:val="0"/>
        </w:numPr>
        <w:rPr>
          <w:rFonts w:ascii="Times New Roman" w:hAnsi="Times New Roman" w:cs="Times New Roman"/>
        </w:rPr>
      </w:pPr>
    </w:p>
    <w:p w14:paraId="016350A9" w14:textId="77777777" w:rsidR="00D72F77" w:rsidRDefault="00D72F77" w:rsidP="004D4EF4">
      <w:pPr>
        <w:pStyle w:val="ListBullet"/>
        <w:numPr>
          <w:ilvl w:val="0"/>
          <w:numId w:val="0"/>
        </w:numPr>
        <w:rPr>
          <w:rFonts w:ascii="Times New Roman" w:hAnsi="Times New Roman" w:cs="Times New Roman"/>
        </w:rPr>
      </w:pPr>
    </w:p>
    <w:p w14:paraId="38421FC9" w14:textId="77777777" w:rsidR="00D72F77" w:rsidRDefault="00D72F77" w:rsidP="004D4EF4">
      <w:pPr>
        <w:pStyle w:val="ListBullet"/>
        <w:numPr>
          <w:ilvl w:val="0"/>
          <w:numId w:val="0"/>
        </w:numPr>
        <w:rPr>
          <w:rFonts w:ascii="Times New Roman" w:hAnsi="Times New Roman" w:cs="Times New Roman"/>
        </w:rPr>
      </w:pPr>
    </w:p>
    <w:p w14:paraId="4276A506" w14:textId="128424B9" w:rsidR="008B5530" w:rsidRDefault="008B5530" w:rsidP="00D72F77">
      <w:pPr>
        <w:pStyle w:val="ListBullet"/>
        <w:numPr>
          <w:ilvl w:val="0"/>
          <w:numId w:val="0"/>
        </w:numPr>
        <w:spacing w:line="480" w:lineRule="auto"/>
        <w:ind w:firstLine="720"/>
        <w:rPr>
          <w:rFonts w:ascii="Times New Roman" w:hAnsi="Times New Roman" w:cs="Times New Roman"/>
        </w:rPr>
      </w:pPr>
      <w:r>
        <w:rPr>
          <w:rFonts w:ascii="Times New Roman" w:hAnsi="Times New Roman" w:cs="Times New Roman"/>
        </w:rPr>
        <w:t xml:space="preserve">All twelve annotated variants from </w:t>
      </w:r>
      <w:r>
        <w:rPr>
          <w:rFonts w:ascii="Times New Roman" w:hAnsi="Times New Roman" w:cs="Times New Roman"/>
          <w:b/>
          <w:bCs/>
        </w:rPr>
        <w:t>Figure 1</w:t>
      </w:r>
      <w:r>
        <w:rPr>
          <w:rFonts w:ascii="Times New Roman" w:hAnsi="Times New Roman" w:cs="Times New Roman"/>
        </w:rPr>
        <w:t xml:space="preserve"> were then fed into the biothings_client Python package </w:t>
      </w:r>
      <w:r w:rsidR="00187E91">
        <w:rPr>
          <w:rFonts w:ascii="Times New Roman" w:hAnsi="Times New Roman" w:cs="Times New Roman"/>
        </w:rPr>
        <w:t>to</w:t>
      </w:r>
      <w:r>
        <w:rPr>
          <w:rFonts w:ascii="Times New Roman" w:hAnsi="Times New Roman" w:cs="Times New Roman"/>
        </w:rPr>
        <w:t xml:space="preserve"> determine the gene of each variant and the mutation type. Zero of the twelve identified SNPs existed in the coding region of a gene. This result, therefore, inhibited further AlphaFold studies of the mutations’ effects on protein structure.</w:t>
      </w:r>
    </w:p>
    <w:p w14:paraId="1A04AF56" w14:textId="77777777" w:rsidR="008B5530" w:rsidRDefault="008B5530" w:rsidP="004D4EF4">
      <w:pPr>
        <w:pStyle w:val="ListBullet"/>
        <w:numPr>
          <w:ilvl w:val="0"/>
          <w:numId w:val="0"/>
        </w:numPr>
        <w:rPr>
          <w:rFonts w:ascii="Times New Roman" w:hAnsi="Times New Roman" w:cs="Times New Roman"/>
        </w:rPr>
      </w:pPr>
    </w:p>
    <w:p w14:paraId="7813DC57" w14:textId="77777777" w:rsidR="00D72F77" w:rsidRDefault="00D72F77" w:rsidP="004D4EF4">
      <w:pPr>
        <w:pStyle w:val="ListBullet"/>
        <w:numPr>
          <w:ilvl w:val="0"/>
          <w:numId w:val="0"/>
        </w:numPr>
        <w:rPr>
          <w:rFonts w:ascii="Times New Roman" w:hAnsi="Times New Roman" w:cs="Times New Roman"/>
        </w:rPr>
      </w:pPr>
    </w:p>
    <w:p w14:paraId="66933104" w14:textId="77777777" w:rsidR="00D72F77" w:rsidRPr="00C34A15" w:rsidRDefault="00D72F77" w:rsidP="004D4EF4">
      <w:pPr>
        <w:pStyle w:val="ListBullet"/>
        <w:numPr>
          <w:ilvl w:val="0"/>
          <w:numId w:val="0"/>
        </w:numPr>
        <w:rPr>
          <w:rFonts w:ascii="Times New Roman" w:hAnsi="Times New Roman" w:cs="Times New Roman"/>
        </w:rPr>
      </w:pPr>
    </w:p>
    <w:p w14:paraId="2ACFEDF4" w14:textId="6D18DC9D" w:rsidR="008B5530" w:rsidRDefault="008B5530" w:rsidP="008B5530">
      <w:pPr>
        <w:pStyle w:val="Caption"/>
        <w:keepNext/>
      </w:pPr>
      <w:r w:rsidRPr="00187E91">
        <w:rPr>
          <w:b/>
          <w:bCs/>
        </w:rPr>
        <w:t xml:space="preserve">Table </w:t>
      </w:r>
      <w:r w:rsidRPr="00187E91">
        <w:rPr>
          <w:b/>
          <w:bCs/>
        </w:rPr>
        <w:fldChar w:fldCharType="begin"/>
      </w:r>
      <w:r w:rsidRPr="00187E91">
        <w:rPr>
          <w:b/>
          <w:bCs/>
        </w:rPr>
        <w:instrText xml:space="preserve"> SEQ Table \* ARABIC </w:instrText>
      </w:r>
      <w:r w:rsidRPr="00187E91">
        <w:rPr>
          <w:b/>
          <w:bCs/>
        </w:rPr>
        <w:fldChar w:fldCharType="separate"/>
      </w:r>
      <w:r w:rsidRPr="00187E91">
        <w:rPr>
          <w:b/>
          <w:bCs/>
          <w:noProof/>
        </w:rPr>
        <w:t>1</w:t>
      </w:r>
      <w:r w:rsidRPr="00187E91">
        <w:rPr>
          <w:b/>
          <w:bCs/>
        </w:rPr>
        <w:fldChar w:fldCharType="end"/>
      </w:r>
      <w:r w:rsidRPr="00187E91">
        <w:rPr>
          <w:b/>
          <w:bCs/>
        </w:rPr>
        <w:t>: Gene Identification and Mutation Type for Significant SNPs</w:t>
      </w:r>
      <w:r w:rsidRPr="005B0DB3">
        <w:t>. Annotated genes from Manhattan plot were analyzed in the biothings_client Python package. Variant genes and mutation types were produced as a pandas data frame.</w:t>
      </w:r>
    </w:p>
    <w:tbl>
      <w:tblPr>
        <w:tblW w:w="0" w:type="auto"/>
        <w:tblInd w:w="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5"/>
        <w:gridCol w:w="1715"/>
        <w:gridCol w:w="2503"/>
        <w:gridCol w:w="1896"/>
      </w:tblGrid>
      <w:tr w:rsidR="00C34A15" w:rsidRPr="00AD368F" w14:paraId="0490A40C" w14:textId="77777777" w:rsidTr="008B5530">
        <w:tblPrEx>
          <w:tblCellMar>
            <w:top w:w="0" w:type="dxa"/>
            <w:bottom w:w="0" w:type="dxa"/>
          </w:tblCellMar>
        </w:tblPrEx>
        <w:trPr>
          <w:trHeight w:val="208"/>
        </w:trPr>
        <w:tc>
          <w:tcPr>
            <w:tcW w:w="0" w:type="auto"/>
            <w:gridSpan w:val="4"/>
          </w:tcPr>
          <w:p w14:paraId="151C9519" w14:textId="6896A1A2" w:rsidR="00C34A15" w:rsidRPr="00AD368F" w:rsidRDefault="00C34A15" w:rsidP="00C34A15">
            <w:pPr>
              <w:jc w:val="center"/>
              <w:rPr>
                <w:b/>
                <w:bCs/>
                <w:color w:val="839496"/>
                <w:sz w:val="21"/>
                <w:szCs w:val="21"/>
              </w:rPr>
            </w:pPr>
            <w:r w:rsidRPr="00AD368F">
              <w:rPr>
                <w:b/>
                <w:bCs/>
                <w:color w:val="839496"/>
                <w:sz w:val="21"/>
                <w:szCs w:val="21"/>
              </w:rPr>
              <w:t>Significant Variation Identification</w:t>
            </w:r>
          </w:p>
        </w:tc>
      </w:tr>
      <w:tr w:rsidR="00462461" w:rsidRPr="00AD368F" w14:paraId="140D6C95" w14:textId="05D5322C" w:rsidTr="008B5530">
        <w:tblPrEx>
          <w:tblCellMar>
            <w:top w:w="0" w:type="dxa"/>
            <w:bottom w:w="0" w:type="dxa"/>
          </w:tblCellMar>
        </w:tblPrEx>
        <w:trPr>
          <w:trHeight w:val="208"/>
        </w:trPr>
        <w:tc>
          <w:tcPr>
            <w:tcW w:w="0" w:type="auto"/>
          </w:tcPr>
          <w:p w14:paraId="655F4CAD" w14:textId="37494A4E" w:rsidR="00462461" w:rsidRPr="00AD368F" w:rsidRDefault="00462461" w:rsidP="00462461">
            <w:pPr>
              <w:ind w:left="399"/>
              <w:jc w:val="right"/>
              <w:rPr>
                <w:color w:val="839496"/>
                <w:sz w:val="21"/>
                <w:szCs w:val="21"/>
              </w:rPr>
            </w:pPr>
          </w:p>
        </w:tc>
        <w:tc>
          <w:tcPr>
            <w:tcW w:w="0" w:type="auto"/>
          </w:tcPr>
          <w:p w14:paraId="49A584D9" w14:textId="631DA9D3" w:rsidR="00462461" w:rsidRPr="00AD368F" w:rsidRDefault="00462461" w:rsidP="00462461">
            <w:pPr>
              <w:ind w:left="1036"/>
              <w:jc w:val="right"/>
              <w:rPr>
                <w:color w:val="839496"/>
                <w:sz w:val="21"/>
                <w:szCs w:val="21"/>
              </w:rPr>
            </w:pPr>
            <w:proofErr w:type="spellStart"/>
            <w:r w:rsidRPr="00AD368F">
              <w:rPr>
                <w:color w:val="839496"/>
                <w:sz w:val="21"/>
                <w:szCs w:val="21"/>
              </w:rPr>
              <w:t>rs_id</w:t>
            </w:r>
            <w:proofErr w:type="spellEnd"/>
          </w:p>
        </w:tc>
        <w:tc>
          <w:tcPr>
            <w:tcW w:w="0" w:type="auto"/>
          </w:tcPr>
          <w:p w14:paraId="74EB7810" w14:textId="59EB8A4E" w:rsidR="00462461" w:rsidRPr="00AD368F" w:rsidRDefault="00462461" w:rsidP="00462461">
            <w:pPr>
              <w:jc w:val="right"/>
              <w:rPr>
                <w:color w:val="839496"/>
                <w:sz w:val="21"/>
                <w:szCs w:val="21"/>
              </w:rPr>
            </w:pPr>
            <w:r w:rsidRPr="00AD368F">
              <w:rPr>
                <w:color w:val="839496"/>
                <w:sz w:val="21"/>
                <w:szCs w:val="21"/>
              </w:rPr>
              <w:t>gene</w:t>
            </w:r>
          </w:p>
        </w:tc>
        <w:tc>
          <w:tcPr>
            <w:tcW w:w="0" w:type="auto"/>
          </w:tcPr>
          <w:p w14:paraId="5EF27F59" w14:textId="77777777" w:rsidR="00462461" w:rsidRPr="00AD368F" w:rsidRDefault="00462461" w:rsidP="00462461">
            <w:pPr>
              <w:jc w:val="right"/>
              <w:rPr>
                <w:color w:val="839496"/>
                <w:sz w:val="21"/>
                <w:szCs w:val="21"/>
              </w:rPr>
            </w:pPr>
            <w:proofErr w:type="spellStart"/>
            <w:r w:rsidRPr="00AD368F">
              <w:rPr>
                <w:color w:val="839496"/>
                <w:sz w:val="21"/>
                <w:szCs w:val="21"/>
              </w:rPr>
              <w:t>mutation_type</w:t>
            </w:r>
            <w:proofErr w:type="spellEnd"/>
          </w:p>
        </w:tc>
      </w:tr>
      <w:tr w:rsidR="00462461" w:rsidRPr="00AD368F" w14:paraId="7BD22E1C" w14:textId="20446A0A" w:rsidTr="008B5530">
        <w:tblPrEx>
          <w:tblCellMar>
            <w:top w:w="0" w:type="dxa"/>
            <w:bottom w:w="0" w:type="dxa"/>
          </w:tblCellMar>
        </w:tblPrEx>
        <w:trPr>
          <w:trHeight w:val="208"/>
        </w:trPr>
        <w:tc>
          <w:tcPr>
            <w:tcW w:w="0" w:type="auto"/>
          </w:tcPr>
          <w:p w14:paraId="4AD8D78E" w14:textId="06F4F234" w:rsidR="00462461" w:rsidRPr="00AD368F" w:rsidRDefault="00C34A15" w:rsidP="00462461">
            <w:pPr>
              <w:ind w:left="399"/>
              <w:jc w:val="right"/>
              <w:rPr>
                <w:color w:val="839496"/>
                <w:sz w:val="21"/>
                <w:szCs w:val="21"/>
              </w:rPr>
            </w:pPr>
            <w:r w:rsidRPr="00AD368F">
              <w:rPr>
                <w:color w:val="839496"/>
                <w:sz w:val="21"/>
                <w:szCs w:val="21"/>
              </w:rPr>
              <w:t>1</w:t>
            </w:r>
          </w:p>
        </w:tc>
        <w:tc>
          <w:tcPr>
            <w:tcW w:w="0" w:type="auto"/>
          </w:tcPr>
          <w:p w14:paraId="4B2E2367" w14:textId="69F7A4D1" w:rsidR="00462461" w:rsidRPr="00AD368F" w:rsidRDefault="00462461" w:rsidP="00462461">
            <w:pPr>
              <w:ind w:left="394"/>
              <w:jc w:val="right"/>
              <w:rPr>
                <w:color w:val="839496"/>
                <w:sz w:val="21"/>
                <w:szCs w:val="21"/>
              </w:rPr>
            </w:pPr>
            <w:r w:rsidRPr="00AD368F">
              <w:rPr>
                <w:color w:val="839496"/>
                <w:sz w:val="21"/>
                <w:szCs w:val="21"/>
              </w:rPr>
              <w:t>rs537881928</w:t>
            </w:r>
          </w:p>
        </w:tc>
        <w:tc>
          <w:tcPr>
            <w:tcW w:w="0" w:type="auto"/>
          </w:tcPr>
          <w:p w14:paraId="32E8A17A" w14:textId="24866B50" w:rsidR="00462461" w:rsidRPr="00AD368F" w:rsidRDefault="00462461" w:rsidP="00462461">
            <w:pPr>
              <w:jc w:val="right"/>
              <w:rPr>
                <w:color w:val="839496"/>
                <w:sz w:val="21"/>
                <w:szCs w:val="21"/>
              </w:rPr>
            </w:pPr>
            <w:r w:rsidRPr="00AD368F">
              <w:rPr>
                <w:color w:val="839496"/>
                <w:sz w:val="21"/>
                <w:szCs w:val="21"/>
              </w:rPr>
              <w:t>MTNR1B</w:t>
            </w:r>
          </w:p>
        </w:tc>
        <w:tc>
          <w:tcPr>
            <w:tcW w:w="0" w:type="auto"/>
          </w:tcPr>
          <w:p w14:paraId="7BA4CB5C" w14:textId="77777777" w:rsidR="00462461" w:rsidRPr="00AD368F" w:rsidRDefault="00462461" w:rsidP="00462461">
            <w:pPr>
              <w:jc w:val="right"/>
              <w:rPr>
                <w:color w:val="839496"/>
                <w:sz w:val="21"/>
                <w:szCs w:val="21"/>
              </w:rPr>
            </w:pPr>
            <w:r w:rsidRPr="00AD368F">
              <w:rPr>
                <w:color w:val="839496"/>
                <w:sz w:val="21"/>
                <w:szCs w:val="21"/>
              </w:rPr>
              <w:t>intergenic/unknown</w:t>
            </w:r>
          </w:p>
        </w:tc>
      </w:tr>
      <w:tr w:rsidR="00462461" w:rsidRPr="00AD368F" w14:paraId="4EE42D72" w14:textId="738464CE" w:rsidTr="008B5530">
        <w:tblPrEx>
          <w:tblCellMar>
            <w:top w:w="0" w:type="dxa"/>
            <w:bottom w:w="0" w:type="dxa"/>
          </w:tblCellMar>
        </w:tblPrEx>
        <w:trPr>
          <w:trHeight w:val="208"/>
        </w:trPr>
        <w:tc>
          <w:tcPr>
            <w:tcW w:w="0" w:type="auto"/>
          </w:tcPr>
          <w:p w14:paraId="7E60492D" w14:textId="74692DE0" w:rsidR="00462461" w:rsidRPr="00AD368F" w:rsidRDefault="00C34A15" w:rsidP="00462461">
            <w:pPr>
              <w:ind w:left="399"/>
              <w:jc w:val="right"/>
              <w:rPr>
                <w:color w:val="839496"/>
                <w:sz w:val="21"/>
                <w:szCs w:val="21"/>
              </w:rPr>
            </w:pPr>
            <w:r w:rsidRPr="00AD368F">
              <w:rPr>
                <w:color w:val="839496"/>
                <w:sz w:val="21"/>
                <w:szCs w:val="21"/>
              </w:rPr>
              <w:t>2</w:t>
            </w:r>
          </w:p>
        </w:tc>
        <w:tc>
          <w:tcPr>
            <w:tcW w:w="0" w:type="auto"/>
          </w:tcPr>
          <w:p w14:paraId="75136B77" w14:textId="50F4942B" w:rsidR="00462461" w:rsidRPr="00AD368F" w:rsidRDefault="00462461" w:rsidP="00462461">
            <w:pPr>
              <w:ind w:left="394"/>
              <w:jc w:val="right"/>
              <w:rPr>
                <w:color w:val="839496"/>
                <w:sz w:val="21"/>
                <w:szCs w:val="21"/>
              </w:rPr>
            </w:pPr>
            <w:r w:rsidRPr="00AD368F">
              <w:rPr>
                <w:color w:val="839496"/>
                <w:sz w:val="21"/>
                <w:szCs w:val="21"/>
              </w:rPr>
              <w:t>rs148099371</w:t>
            </w:r>
          </w:p>
        </w:tc>
        <w:tc>
          <w:tcPr>
            <w:tcW w:w="0" w:type="auto"/>
          </w:tcPr>
          <w:p w14:paraId="75C261FA" w14:textId="061353A2" w:rsidR="00462461" w:rsidRPr="00AD368F" w:rsidRDefault="00462461" w:rsidP="00462461">
            <w:pPr>
              <w:jc w:val="right"/>
              <w:rPr>
                <w:color w:val="839496"/>
                <w:sz w:val="21"/>
                <w:szCs w:val="21"/>
              </w:rPr>
            </w:pPr>
            <w:r w:rsidRPr="00AD368F">
              <w:rPr>
                <w:color w:val="839496"/>
                <w:sz w:val="21"/>
                <w:szCs w:val="21"/>
              </w:rPr>
              <w:t>LOC105369431-MTNR1B</w:t>
            </w:r>
          </w:p>
        </w:tc>
        <w:tc>
          <w:tcPr>
            <w:tcW w:w="0" w:type="auto"/>
          </w:tcPr>
          <w:p w14:paraId="391C3463" w14:textId="77777777" w:rsidR="00462461" w:rsidRPr="00AD368F" w:rsidRDefault="00462461" w:rsidP="00462461">
            <w:pPr>
              <w:jc w:val="right"/>
              <w:rPr>
                <w:color w:val="839496"/>
                <w:sz w:val="21"/>
                <w:szCs w:val="21"/>
              </w:rPr>
            </w:pPr>
            <w:r w:rsidRPr="00AD368F">
              <w:rPr>
                <w:color w:val="839496"/>
                <w:sz w:val="21"/>
                <w:szCs w:val="21"/>
              </w:rPr>
              <w:t>intergenic/unknown</w:t>
            </w:r>
          </w:p>
        </w:tc>
      </w:tr>
      <w:tr w:rsidR="00462461" w:rsidRPr="00AD368F" w14:paraId="0650D889" w14:textId="6718A1A4" w:rsidTr="008B5530">
        <w:tblPrEx>
          <w:tblCellMar>
            <w:top w:w="0" w:type="dxa"/>
            <w:bottom w:w="0" w:type="dxa"/>
          </w:tblCellMar>
        </w:tblPrEx>
        <w:trPr>
          <w:trHeight w:val="208"/>
        </w:trPr>
        <w:tc>
          <w:tcPr>
            <w:tcW w:w="0" w:type="auto"/>
          </w:tcPr>
          <w:p w14:paraId="42CE7AFB" w14:textId="02C8D3E1" w:rsidR="00462461" w:rsidRPr="00AD368F" w:rsidRDefault="00C34A15" w:rsidP="00462461">
            <w:pPr>
              <w:ind w:left="399"/>
              <w:jc w:val="right"/>
              <w:rPr>
                <w:color w:val="839496"/>
                <w:sz w:val="21"/>
                <w:szCs w:val="21"/>
              </w:rPr>
            </w:pPr>
            <w:r w:rsidRPr="00AD368F">
              <w:rPr>
                <w:color w:val="839496"/>
                <w:sz w:val="21"/>
                <w:szCs w:val="21"/>
              </w:rPr>
              <w:t>3</w:t>
            </w:r>
          </w:p>
        </w:tc>
        <w:tc>
          <w:tcPr>
            <w:tcW w:w="0" w:type="auto"/>
          </w:tcPr>
          <w:p w14:paraId="5CEC3BA4" w14:textId="452A47D3" w:rsidR="00462461" w:rsidRPr="00AD368F" w:rsidRDefault="00462461" w:rsidP="00462461">
            <w:pPr>
              <w:ind w:left="394"/>
              <w:jc w:val="right"/>
              <w:rPr>
                <w:color w:val="839496"/>
                <w:sz w:val="21"/>
                <w:szCs w:val="21"/>
              </w:rPr>
            </w:pPr>
            <w:r w:rsidRPr="00AD368F">
              <w:rPr>
                <w:color w:val="839496"/>
                <w:sz w:val="21"/>
                <w:szCs w:val="21"/>
              </w:rPr>
              <w:t>rs140863216</w:t>
            </w:r>
          </w:p>
        </w:tc>
        <w:tc>
          <w:tcPr>
            <w:tcW w:w="0" w:type="auto"/>
          </w:tcPr>
          <w:p w14:paraId="520B9E71" w14:textId="79A727CC" w:rsidR="00462461" w:rsidRPr="00AD368F" w:rsidRDefault="00462461" w:rsidP="00462461">
            <w:pPr>
              <w:jc w:val="right"/>
              <w:rPr>
                <w:color w:val="839496"/>
                <w:sz w:val="21"/>
                <w:szCs w:val="21"/>
              </w:rPr>
            </w:pPr>
            <w:r w:rsidRPr="00AD368F">
              <w:rPr>
                <w:color w:val="839496"/>
                <w:sz w:val="21"/>
                <w:szCs w:val="21"/>
              </w:rPr>
              <w:t>CDKAL1</w:t>
            </w:r>
          </w:p>
        </w:tc>
        <w:tc>
          <w:tcPr>
            <w:tcW w:w="0" w:type="auto"/>
          </w:tcPr>
          <w:p w14:paraId="36FDF98E" w14:textId="77777777" w:rsidR="00462461" w:rsidRPr="00AD368F" w:rsidRDefault="00462461" w:rsidP="00462461">
            <w:pPr>
              <w:jc w:val="right"/>
              <w:rPr>
                <w:color w:val="839496"/>
                <w:sz w:val="21"/>
                <w:szCs w:val="21"/>
              </w:rPr>
            </w:pPr>
            <w:r w:rsidRPr="00AD368F">
              <w:rPr>
                <w:color w:val="839496"/>
                <w:sz w:val="21"/>
                <w:szCs w:val="21"/>
              </w:rPr>
              <w:t>intergenic/unknown</w:t>
            </w:r>
          </w:p>
        </w:tc>
      </w:tr>
      <w:tr w:rsidR="00462461" w:rsidRPr="00AD368F" w14:paraId="7C0E39D7" w14:textId="113EADCA" w:rsidTr="008B5530">
        <w:tblPrEx>
          <w:tblCellMar>
            <w:top w:w="0" w:type="dxa"/>
            <w:bottom w:w="0" w:type="dxa"/>
          </w:tblCellMar>
        </w:tblPrEx>
        <w:trPr>
          <w:trHeight w:val="208"/>
        </w:trPr>
        <w:tc>
          <w:tcPr>
            <w:tcW w:w="0" w:type="auto"/>
          </w:tcPr>
          <w:p w14:paraId="0FC462C8" w14:textId="41B87496" w:rsidR="00C34A15" w:rsidRPr="00AD368F" w:rsidRDefault="00C34A15" w:rsidP="00C34A15">
            <w:pPr>
              <w:ind w:left="399"/>
              <w:jc w:val="right"/>
              <w:rPr>
                <w:color w:val="839496"/>
                <w:sz w:val="21"/>
                <w:szCs w:val="21"/>
              </w:rPr>
            </w:pPr>
            <w:r w:rsidRPr="00AD368F">
              <w:rPr>
                <w:color w:val="839496"/>
                <w:sz w:val="21"/>
                <w:szCs w:val="21"/>
              </w:rPr>
              <w:t>4</w:t>
            </w:r>
          </w:p>
        </w:tc>
        <w:tc>
          <w:tcPr>
            <w:tcW w:w="0" w:type="auto"/>
          </w:tcPr>
          <w:p w14:paraId="2411A2C0" w14:textId="6322496F" w:rsidR="00462461" w:rsidRPr="00AD368F" w:rsidRDefault="00462461" w:rsidP="00462461">
            <w:pPr>
              <w:ind w:left="394"/>
              <w:jc w:val="right"/>
              <w:rPr>
                <w:color w:val="839496"/>
                <w:sz w:val="21"/>
                <w:szCs w:val="21"/>
              </w:rPr>
            </w:pPr>
            <w:r w:rsidRPr="00AD368F">
              <w:rPr>
                <w:color w:val="839496"/>
                <w:sz w:val="21"/>
                <w:szCs w:val="21"/>
              </w:rPr>
              <w:t>rs147794791</w:t>
            </w:r>
          </w:p>
        </w:tc>
        <w:tc>
          <w:tcPr>
            <w:tcW w:w="0" w:type="auto"/>
          </w:tcPr>
          <w:p w14:paraId="1450190F" w14:textId="796EF1BD" w:rsidR="00462461" w:rsidRPr="00AD368F" w:rsidRDefault="00462461" w:rsidP="00462461">
            <w:pPr>
              <w:jc w:val="right"/>
              <w:rPr>
                <w:color w:val="839496"/>
                <w:sz w:val="21"/>
                <w:szCs w:val="21"/>
              </w:rPr>
            </w:pPr>
            <w:r w:rsidRPr="00AD368F">
              <w:rPr>
                <w:color w:val="839496"/>
                <w:sz w:val="21"/>
                <w:szCs w:val="21"/>
              </w:rPr>
              <w:t>LOC105369431-MTNR1B</w:t>
            </w:r>
          </w:p>
        </w:tc>
        <w:tc>
          <w:tcPr>
            <w:tcW w:w="0" w:type="auto"/>
          </w:tcPr>
          <w:p w14:paraId="2C9DE5A4" w14:textId="77777777" w:rsidR="00462461" w:rsidRPr="00AD368F" w:rsidRDefault="00462461" w:rsidP="00462461">
            <w:pPr>
              <w:jc w:val="right"/>
              <w:rPr>
                <w:color w:val="839496"/>
                <w:sz w:val="21"/>
                <w:szCs w:val="21"/>
              </w:rPr>
            </w:pPr>
            <w:r w:rsidRPr="00AD368F">
              <w:rPr>
                <w:color w:val="839496"/>
                <w:sz w:val="21"/>
                <w:szCs w:val="21"/>
              </w:rPr>
              <w:t>intergenic/unknown</w:t>
            </w:r>
          </w:p>
        </w:tc>
      </w:tr>
      <w:tr w:rsidR="00462461" w:rsidRPr="00AD368F" w14:paraId="503852F1" w14:textId="5A117A9E" w:rsidTr="008B5530">
        <w:tblPrEx>
          <w:tblCellMar>
            <w:top w:w="0" w:type="dxa"/>
            <w:bottom w:w="0" w:type="dxa"/>
          </w:tblCellMar>
        </w:tblPrEx>
        <w:trPr>
          <w:trHeight w:val="208"/>
        </w:trPr>
        <w:tc>
          <w:tcPr>
            <w:tcW w:w="0" w:type="auto"/>
          </w:tcPr>
          <w:p w14:paraId="644BEFB8" w14:textId="73A176CE" w:rsidR="00462461" w:rsidRPr="00AD368F" w:rsidRDefault="00C34A15" w:rsidP="00462461">
            <w:pPr>
              <w:ind w:left="399"/>
              <w:jc w:val="right"/>
              <w:rPr>
                <w:color w:val="839496"/>
                <w:sz w:val="21"/>
                <w:szCs w:val="21"/>
              </w:rPr>
            </w:pPr>
            <w:r w:rsidRPr="00AD368F">
              <w:rPr>
                <w:color w:val="839496"/>
                <w:sz w:val="21"/>
                <w:szCs w:val="21"/>
              </w:rPr>
              <w:t>5</w:t>
            </w:r>
          </w:p>
        </w:tc>
        <w:tc>
          <w:tcPr>
            <w:tcW w:w="0" w:type="auto"/>
          </w:tcPr>
          <w:p w14:paraId="677720BD" w14:textId="3B541FBF" w:rsidR="00462461" w:rsidRPr="00AD368F" w:rsidRDefault="00462461" w:rsidP="00462461">
            <w:pPr>
              <w:ind w:left="394"/>
              <w:jc w:val="right"/>
              <w:rPr>
                <w:color w:val="839496"/>
                <w:sz w:val="21"/>
                <w:szCs w:val="21"/>
              </w:rPr>
            </w:pPr>
            <w:r w:rsidRPr="00AD368F">
              <w:rPr>
                <w:color w:val="839496"/>
                <w:sz w:val="21"/>
                <w:szCs w:val="21"/>
              </w:rPr>
              <w:t>rs374939081</w:t>
            </w:r>
          </w:p>
        </w:tc>
        <w:tc>
          <w:tcPr>
            <w:tcW w:w="0" w:type="auto"/>
          </w:tcPr>
          <w:p w14:paraId="7ED886F3" w14:textId="49A81556" w:rsidR="00462461" w:rsidRPr="00AD368F" w:rsidRDefault="00462461" w:rsidP="00462461">
            <w:pPr>
              <w:jc w:val="right"/>
              <w:rPr>
                <w:color w:val="839496"/>
                <w:sz w:val="21"/>
                <w:szCs w:val="21"/>
              </w:rPr>
            </w:pPr>
            <w:r w:rsidRPr="00AD368F">
              <w:rPr>
                <w:color w:val="839496"/>
                <w:sz w:val="21"/>
                <w:szCs w:val="21"/>
              </w:rPr>
              <w:t>CDKAL1</w:t>
            </w:r>
          </w:p>
        </w:tc>
        <w:tc>
          <w:tcPr>
            <w:tcW w:w="0" w:type="auto"/>
          </w:tcPr>
          <w:p w14:paraId="6B99E958" w14:textId="77777777" w:rsidR="00462461" w:rsidRPr="00AD368F" w:rsidRDefault="00462461" w:rsidP="00462461">
            <w:pPr>
              <w:jc w:val="right"/>
              <w:rPr>
                <w:color w:val="839496"/>
                <w:sz w:val="21"/>
                <w:szCs w:val="21"/>
              </w:rPr>
            </w:pPr>
            <w:r w:rsidRPr="00AD368F">
              <w:rPr>
                <w:color w:val="839496"/>
                <w:sz w:val="21"/>
                <w:szCs w:val="21"/>
              </w:rPr>
              <w:t>intergenic/unknown</w:t>
            </w:r>
          </w:p>
        </w:tc>
      </w:tr>
      <w:tr w:rsidR="00462461" w:rsidRPr="00AD368F" w14:paraId="5C6D9833" w14:textId="466F369B" w:rsidTr="008B5530">
        <w:tblPrEx>
          <w:tblCellMar>
            <w:top w:w="0" w:type="dxa"/>
            <w:bottom w:w="0" w:type="dxa"/>
          </w:tblCellMar>
        </w:tblPrEx>
        <w:trPr>
          <w:trHeight w:val="208"/>
        </w:trPr>
        <w:tc>
          <w:tcPr>
            <w:tcW w:w="0" w:type="auto"/>
          </w:tcPr>
          <w:p w14:paraId="54CD20BB" w14:textId="055DB5FD" w:rsidR="00462461" w:rsidRPr="00AD368F" w:rsidRDefault="00C34A15" w:rsidP="00462461">
            <w:pPr>
              <w:ind w:left="399"/>
              <w:jc w:val="right"/>
              <w:rPr>
                <w:color w:val="839496"/>
                <w:sz w:val="21"/>
                <w:szCs w:val="21"/>
              </w:rPr>
            </w:pPr>
            <w:r w:rsidRPr="00AD368F">
              <w:rPr>
                <w:color w:val="839496"/>
                <w:sz w:val="21"/>
                <w:szCs w:val="21"/>
              </w:rPr>
              <w:t>6</w:t>
            </w:r>
          </w:p>
        </w:tc>
        <w:tc>
          <w:tcPr>
            <w:tcW w:w="0" w:type="auto"/>
          </w:tcPr>
          <w:p w14:paraId="4DE7431F" w14:textId="4B3B3CCB" w:rsidR="00462461" w:rsidRPr="00AD368F" w:rsidRDefault="00462461" w:rsidP="00462461">
            <w:pPr>
              <w:ind w:left="394"/>
              <w:jc w:val="right"/>
              <w:rPr>
                <w:color w:val="839496"/>
                <w:sz w:val="21"/>
                <w:szCs w:val="21"/>
              </w:rPr>
            </w:pPr>
            <w:r w:rsidRPr="00AD368F">
              <w:rPr>
                <w:color w:val="839496"/>
                <w:sz w:val="21"/>
                <w:szCs w:val="21"/>
              </w:rPr>
              <w:t>rs117511125</w:t>
            </w:r>
          </w:p>
        </w:tc>
        <w:tc>
          <w:tcPr>
            <w:tcW w:w="0" w:type="auto"/>
          </w:tcPr>
          <w:p w14:paraId="46E85B3C" w14:textId="4C8D5A17" w:rsidR="00462461" w:rsidRPr="00AD368F" w:rsidRDefault="00462461" w:rsidP="00462461">
            <w:pPr>
              <w:jc w:val="right"/>
              <w:rPr>
                <w:color w:val="839496"/>
                <w:sz w:val="21"/>
                <w:szCs w:val="21"/>
              </w:rPr>
            </w:pPr>
            <w:r w:rsidRPr="00AD368F">
              <w:rPr>
                <w:color w:val="839496"/>
                <w:sz w:val="21"/>
                <w:szCs w:val="21"/>
              </w:rPr>
              <w:t>CDKAL1</w:t>
            </w:r>
          </w:p>
        </w:tc>
        <w:tc>
          <w:tcPr>
            <w:tcW w:w="0" w:type="auto"/>
          </w:tcPr>
          <w:p w14:paraId="338EBD8A" w14:textId="77777777" w:rsidR="00462461" w:rsidRPr="00AD368F" w:rsidRDefault="00462461" w:rsidP="00462461">
            <w:pPr>
              <w:jc w:val="right"/>
              <w:rPr>
                <w:color w:val="839496"/>
                <w:sz w:val="21"/>
                <w:szCs w:val="21"/>
              </w:rPr>
            </w:pPr>
            <w:r w:rsidRPr="00AD368F">
              <w:rPr>
                <w:color w:val="839496"/>
                <w:sz w:val="21"/>
                <w:szCs w:val="21"/>
              </w:rPr>
              <w:t>intergenic/unknown</w:t>
            </w:r>
          </w:p>
        </w:tc>
      </w:tr>
      <w:tr w:rsidR="00462461" w:rsidRPr="00AD368F" w14:paraId="3E99D381" w14:textId="2DCE2293" w:rsidTr="008B5530">
        <w:tblPrEx>
          <w:tblCellMar>
            <w:top w:w="0" w:type="dxa"/>
            <w:bottom w:w="0" w:type="dxa"/>
          </w:tblCellMar>
        </w:tblPrEx>
        <w:trPr>
          <w:trHeight w:val="208"/>
        </w:trPr>
        <w:tc>
          <w:tcPr>
            <w:tcW w:w="0" w:type="auto"/>
          </w:tcPr>
          <w:p w14:paraId="177D57B1" w14:textId="4C6DE965" w:rsidR="00462461" w:rsidRPr="00AD368F" w:rsidRDefault="00C34A15" w:rsidP="00462461">
            <w:pPr>
              <w:ind w:left="399"/>
              <w:jc w:val="right"/>
              <w:rPr>
                <w:color w:val="839496"/>
                <w:sz w:val="21"/>
                <w:szCs w:val="21"/>
              </w:rPr>
            </w:pPr>
            <w:r w:rsidRPr="00AD368F">
              <w:rPr>
                <w:color w:val="839496"/>
                <w:sz w:val="21"/>
                <w:szCs w:val="21"/>
              </w:rPr>
              <w:t>7</w:t>
            </w:r>
          </w:p>
        </w:tc>
        <w:tc>
          <w:tcPr>
            <w:tcW w:w="0" w:type="auto"/>
          </w:tcPr>
          <w:p w14:paraId="78C3114B" w14:textId="5865ECBF" w:rsidR="00462461" w:rsidRPr="00AD368F" w:rsidRDefault="00462461" w:rsidP="00462461">
            <w:pPr>
              <w:ind w:left="394"/>
              <w:jc w:val="right"/>
              <w:rPr>
                <w:color w:val="839496"/>
                <w:sz w:val="21"/>
                <w:szCs w:val="21"/>
              </w:rPr>
            </w:pPr>
            <w:r w:rsidRPr="00AD368F">
              <w:rPr>
                <w:color w:val="839496"/>
                <w:sz w:val="21"/>
                <w:szCs w:val="21"/>
              </w:rPr>
              <w:t>rs117975347</w:t>
            </w:r>
          </w:p>
        </w:tc>
        <w:tc>
          <w:tcPr>
            <w:tcW w:w="0" w:type="auto"/>
          </w:tcPr>
          <w:p w14:paraId="39D9C73B" w14:textId="37127B88" w:rsidR="00462461" w:rsidRPr="00AD368F" w:rsidRDefault="00462461" w:rsidP="00462461">
            <w:pPr>
              <w:jc w:val="right"/>
              <w:rPr>
                <w:color w:val="839496"/>
                <w:sz w:val="21"/>
                <w:szCs w:val="21"/>
              </w:rPr>
            </w:pPr>
            <w:r w:rsidRPr="00AD368F">
              <w:rPr>
                <w:color w:val="839496"/>
                <w:sz w:val="21"/>
                <w:szCs w:val="21"/>
              </w:rPr>
              <w:t>LOC101928994</w:t>
            </w:r>
          </w:p>
        </w:tc>
        <w:tc>
          <w:tcPr>
            <w:tcW w:w="0" w:type="auto"/>
          </w:tcPr>
          <w:p w14:paraId="58113985" w14:textId="77777777" w:rsidR="00462461" w:rsidRPr="00AD368F" w:rsidRDefault="00462461" w:rsidP="00462461">
            <w:pPr>
              <w:jc w:val="right"/>
              <w:rPr>
                <w:color w:val="839496"/>
                <w:sz w:val="21"/>
                <w:szCs w:val="21"/>
              </w:rPr>
            </w:pPr>
            <w:r w:rsidRPr="00AD368F">
              <w:rPr>
                <w:color w:val="839496"/>
                <w:sz w:val="21"/>
                <w:szCs w:val="21"/>
              </w:rPr>
              <w:t>intergenic/unknown</w:t>
            </w:r>
          </w:p>
        </w:tc>
      </w:tr>
      <w:tr w:rsidR="00462461" w:rsidRPr="00AD368F" w14:paraId="58513B07" w14:textId="39782A6C" w:rsidTr="008B5530">
        <w:tblPrEx>
          <w:tblCellMar>
            <w:top w:w="0" w:type="dxa"/>
            <w:bottom w:w="0" w:type="dxa"/>
          </w:tblCellMar>
        </w:tblPrEx>
        <w:trPr>
          <w:trHeight w:val="208"/>
        </w:trPr>
        <w:tc>
          <w:tcPr>
            <w:tcW w:w="0" w:type="auto"/>
          </w:tcPr>
          <w:p w14:paraId="4F49ABD0" w14:textId="1C3536DD" w:rsidR="00462461" w:rsidRPr="00AD368F" w:rsidRDefault="00C34A15" w:rsidP="00462461">
            <w:pPr>
              <w:ind w:left="399"/>
              <w:jc w:val="right"/>
              <w:rPr>
                <w:color w:val="839496"/>
                <w:sz w:val="21"/>
                <w:szCs w:val="21"/>
              </w:rPr>
            </w:pPr>
            <w:r w:rsidRPr="00AD368F">
              <w:rPr>
                <w:color w:val="839496"/>
                <w:sz w:val="21"/>
                <w:szCs w:val="21"/>
              </w:rPr>
              <w:t>8</w:t>
            </w:r>
          </w:p>
        </w:tc>
        <w:tc>
          <w:tcPr>
            <w:tcW w:w="0" w:type="auto"/>
          </w:tcPr>
          <w:p w14:paraId="48021AE3" w14:textId="4B58042A" w:rsidR="00462461" w:rsidRPr="00AD368F" w:rsidRDefault="00462461" w:rsidP="00462461">
            <w:pPr>
              <w:ind w:left="496"/>
              <w:jc w:val="right"/>
              <w:rPr>
                <w:color w:val="839496"/>
                <w:sz w:val="21"/>
                <w:szCs w:val="21"/>
              </w:rPr>
            </w:pPr>
            <w:r w:rsidRPr="00AD368F">
              <w:rPr>
                <w:color w:val="839496"/>
                <w:sz w:val="21"/>
                <w:szCs w:val="21"/>
              </w:rPr>
              <w:t>rs79937321</w:t>
            </w:r>
          </w:p>
        </w:tc>
        <w:tc>
          <w:tcPr>
            <w:tcW w:w="0" w:type="auto"/>
          </w:tcPr>
          <w:p w14:paraId="1478FFD6" w14:textId="3C25AA14" w:rsidR="00462461" w:rsidRPr="00AD368F" w:rsidRDefault="00462461" w:rsidP="00462461">
            <w:pPr>
              <w:jc w:val="right"/>
              <w:rPr>
                <w:color w:val="839496"/>
                <w:sz w:val="21"/>
                <w:szCs w:val="21"/>
              </w:rPr>
            </w:pPr>
            <w:r w:rsidRPr="00AD368F">
              <w:rPr>
                <w:color w:val="839496"/>
                <w:sz w:val="21"/>
                <w:szCs w:val="21"/>
              </w:rPr>
              <w:t>LOC101928994</w:t>
            </w:r>
          </w:p>
        </w:tc>
        <w:tc>
          <w:tcPr>
            <w:tcW w:w="0" w:type="auto"/>
          </w:tcPr>
          <w:p w14:paraId="5200436E" w14:textId="460FA04A" w:rsidR="00462461" w:rsidRPr="00AD368F" w:rsidRDefault="00462461" w:rsidP="00462461">
            <w:pPr>
              <w:jc w:val="right"/>
              <w:rPr>
                <w:color w:val="839496"/>
                <w:sz w:val="21"/>
                <w:szCs w:val="21"/>
              </w:rPr>
            </w:pPr>
            <w:r w:rsidRPr="00AD368F">
              <w:rPr>
                <w:color w:val="839496"/>
                <w:sz w:val="21"/>
                <w:szCs w:val="21"/>
              </w:rPr>
              <w:t>intergenic/unknown</w:t>
            </w:r>
          </w:p>
        </w:tc>
      </w:tr>
      <w:tr w:rsidR="00462461" w:rsidRPr="00AD368F" w14:paraId="4090431A" w14:textId="59688C9D" w:rsidTr="008B5530">
        <w:tblPrEx>
          <w:tblCellMar>
            <w:top w:w="0" w:type="dxa"/>
            <w:bottom w:w="0" w:type="dxa"/>
          </w:tblCellMar>
        </w:tblPrEx>
        <w:trPr>
          <w:trHeight w:val="208"/>
        </w:trPr>
        <w:tc>
          <w:tcPr>
            <w:tcW w:w="0" w:type="auto"/>
          </w:tcPr>
          <w:p w14:paraId="54CC66CA" w14:textId="00B6BACD" w:rsidR="00462461" w:rsidRPr="00AD368F" w:rsidRDefault="00C34A15" w:rsidP="00462461">
            <w:pPr>
              <w:ind w:left="399"/>
              <w:jc w:val="right"/>
              <w:rPr>
                <w:color w:val="839496"/>
                <w:sz w:val="21"/>
                <w:szCs w:val="21"/>
              </w:rPr>
            </w:pPr>
            <w:r w:rsidRPr="00AD368F">
              <w:rPr>
                <w:color w:val="839496"/>
                <w:sz w:val="21"/>
                <w:szCs w:val="21"/>
              </w:rPr>
              <w:t>9</w:t>
            </w:r>
          </w:p>
        </w:tc>
        <w:tc>
          <w:tcPr>
            <w:tcW w:w="0" w:type="auto"/>
          </w:tcPr>
          <w:p w14:paraId="7C74B730" w14:textId="3EC03733" w:rsidR="00462461" w:rsidRPr="00AD368F" w:rsidRDefault="00462461" w:rsidP="00462461">
            <w:pPr>
              <w:ind w:left="496"/>
              <w:jc w:val="right"/>
              <w:rPr>
                <w:color w:val="839496"/>
                <w:sz w:val="21"/>
                <w:szCs w:val="21"/>
              </w:rPr>
            </w:pPr>
            <w:r w:rsidRPr="00AD368F">
              <w:rPr>
                <w:color w:val="839496"/>
                <w:sz w:val="21"/>
                <w:szCs w:val="21"/>
              </w:rPr>
              <w:t>rs71507028</w:t>
            </w:r>
          </w:p>
        </w:tc>
        <w:tc>
          <w:tcPr>
            <w:tcW w:w="0" w:type="auto"/>
          </w:tcPr>
          <w:p w14:paraId="25F1A3A1" w14:textId="0BFA8FA5" w:rsidR="00462461" w:rsidRPr="00AD368F" w:rsidRDefault="00462461" w:rsidP="00462461">
            <w:pPr>
              <w:jc w:val="right"/>
              <w:rPr>
                <w:color w:val="839496"/>
                <w:sz w:val="21"/>
                <w:szCs w:val="21"/>
              </w:rPr>
            </w:pPr>
            <w:r w:rsidRPr="00AD368F">
              <w:rPr>
                <w:color w:val="839496"/>
                <w:sz w:val="21"/>
                <w:szCs w:val="21"/>
              </w:rPr>
              <w:t>LOC101928994</w:t>
            </w:r>
          </w:p>
        </w:tc>
        <w:tc>
          <w:tcPr>
            <w:tcW w:w="0" w:type="auto"/>
          </w:tcPr>
          <w:p w14:paraId="1AE754EE" w14:textId="60850628" w:rsidR="00462461" w:rsidRPr="00AD368F" w:rsidRDefault="00462461" w:rsidP="00462461">
            <w:pPr>
              <w:jc w:val="right"/>
              <w:rPr>
                <w:color w:val="839496"/>
                <w:sz w:val="21"/>
                <w:szCs w:val="21"/>
              </w:rPr>
            </w:pPr>
            <w:r w:rsidRPr="00AD368F">
              <w:rPr>
                <w:color w:val="839496"/>
                <w:sz w:val="21"/>
                <w:szCs w:val="21"/>
              </w:rPr>
              <w:t>intergenic/unknown</w:t>
            </w:r>
          </w:p>
        </w:tc>
      </w:tr>
      <w:tr w:rsidR="00462461" w:rsidRPr="00AD368F" w14:paraId="57740D05" w14:textId="0E42B19C" w:rsidTr="008B5530">
        <w:tblPrEx>
          <w:tblCellMar>
            <w:top w:w="0" w:type="dxa"/>
            <w:bottom w:w="0" w:type="dxa"/>
          </w:tblCellMar>
        </w:tblPrEx>
        <w:trPr>
          <w:trHeight w:val="208"/>
        </w:trPr>
        <w:tc>
          <w:tcPr>
            <w:tcW w:w="0" w:type="auto"/>
          </w:tcPr>
          <w:p w14:paraId="3A4A8243" w14:textId="121EB843" w:rsidR="00462461" w:rsidRPr="00AD368F" w:rsidRDefault="00C34A15" w:rsidP="00462461">
            <w:pPr>
              <w:ind w:left="399"/>
              <w:jc w:val="right"/>
              <w:rPr>
                <w:color w:val="839496"/>
                <w:sz w:val="21"/>
                <w:szCs w:val="21"/>
              </w:rPr>
            </w:pPr>
            <w:r w:rsidRPr="00AD368F">
              <w:rPr>
                <w:color w:val="839496"/>
                <w:sz w:val="21"/>
                <w:szCs w:val="21"/>
              </w:rPr>
              <w:t>10</w:t>
            </w:r>
          </w:p>
        </w:tc>
        <w:tc>
          <w:tcPr>
            <w:tcW w:w="0" w:type="auto"/>
          </w:tcPr>
          <w:p w14:paraId="27EE27C5" w14:textId="0605A3D8" w:rsidR="00462461" w:rsidRPr="00AD368F" w:rsidRDefault="00462461" w:rsidP="00462461">
            <w:pPr>
              <w:ind w:left="612"/>
              <w:jc w:val="right"/>
              <w:rPr>
                <w:color w:val="839496"/>
                <w:sz w:val="21"/>
                <w:szCs w:val="21"/>
              </w:rPr>
            </w:pPr>
            <w:r w:rsidRPr="00AD368F">
              <w:rPr>
                <w:color w:val="839496"/>
                <w:sz w:val="21"/>
                <w:szCs w:val="21"/>
              </w:rPr>
              <w:t>rs2595704</w:t>
            </w:r>
          </w:p>
        </w:tc>
        <w:tc>
          <w:tcPr>
            <w:tcW w:w="0" w:type="auto"/>
          </w:tcPr>
          <w:p w14:paraId="4D751391" w14:textId="7DE46C1A" w:rsidR="00462461" w:rsidRPr="00AD368F" w:rsidRDefault="00462461" w:rsidP="00462461">
            <w:pPr>
              <w:jc w:val="right"/>
              <w:rPr>
                <w:color w:val="839496"/>
                <w:sz w:val="21"/>
                <w:szCs w:val="21"/>
              </w:rPr>
            </w:pPr>
            <w:r w:rsidRPr="00AD368F">
              <w:rPr>
                <w:color w:val="839496"/>
                <w:sz w:val="21"/>
                <w:szCs w:val="21"/>
              </w:rPr>
              <w:t>AEBP1</w:t>
            </w:r>
          </w:p>
        </w:tc>
        <w:tc>
          <w:tcPr>
            <w:tcW w:w="0" w:type="auto"/>
          </w:tcPr>
          <w:p w14:paraId="2FA45CA7" w14:textId="35E5F08C" w:rsidR="00462461" w:rsidRPr="00AD368F" w:rsidRDefault="00462461" w:rsidP="00462461">
            <w:pPr>
              <w:jc w:val="right"/>
              <w:rPr>
                <w:color w:val="839496"/>
                <w:sz w:val="21"/>
                <w:szCs w:val="21"/>
              </w:rPr>
            </w:pPr>
            <w:r w:rsidRPr="00AD368F">
              <w:rPr>
                <w:color w:val="839496"/>
                <w:sz w:val="21"/>
                <w:szCs w:val="21"/>
              </w:rPr>
              <w:t>intergenic/unknown</w:t>
            </w:r>
          </w:p>
        </w:tc>
      </w:tr>
      <w:tr w:rsidR="00462461" w:rsidRPr="00AD368F" w14:paraId="38A12631" w14:textId="22AE67B5" w:rsidTr="008B5530">
        <w:tblPrEx>
          <w:tblCellMar>
            <w:top w:w="0" w:type="dxa"/>
            <w:bottom w:w="0" w:type="dxa"/>
          </w:tblCellMar>
        </w:tblPrEx>
        <w:trPr>
          <w:trHeight w:val="208"/>
        </w:trPr>
        <w:tc>
          <w:tcPr>
            <w:tcW w:w="0" w:type="auto"/>
          </w:tcPr>
          <w:p w14:paraId="3B975B95" w14:textId="6BAFD602" w:rsidR="00462461" w:rsidRPr="00AD368F" w:rsidRDefault="00C34A15" w:rsidP="00462461">
            <w:pPr>
              <w:ind w:left="399"/>
              <w:jc w:val="right"/>
              <w:rPr>
                <w:color w:val="839496"/>
                <w:sz w:val="21"/>
                <w:szCs w:val="21"/>
              </w:rPr>
            </w:pPr>
            <w:r w:rsidRPr="00AD368F">
              <w:rPr>
                <w:color w:val="839496"/>
                <w:sz w:val="21"/>
                <w:szCs w:val="21"/>
              </w:rPr>
              <w:t>11</w:t>
            </w:r>
          </w:p>
        </w:tc>
        <w:tc>
          <w:tcPr>
            <w:tcW w:w="0" w:type="auto"/>
          </w:tcPr>
          <w:p w14:paraId="27B38642" w14:textId="3CCB6FEA" w:rsidR="00462461" w:rsidRPr="00AD368F" w:rsidRDefault="00462461" w:rsidP="00462461">
            <w:pPr>
              <w:ind w:left="496"/>
              <w:jc w:val="right"/>
              <w:rPr>
                <w:color w:val="839496"/>
                <w:sz w:val="21"/>
                <w:szCs w:val="21"/>
              </w:rPr>
            </w:pPr>
            <w:r w:rsidRPr="00AD368F">
              <w:rPr>
                <w:color w:val="839496"/>
                <w:sz w:val="21"/>
                <w:szCs w:val="21"/>
              </w:rPr>
              <w:t>rs62460065</w:t>
            </w:r>
          </w:p>
        </w:tc>
        <w:tc>
          <w:tcPr>
            <w:tcW w:w="0" w:type="auto"/>
          </w:tcPr>
          <w:p w14:paraId="4310FB2A" w14:textId="58690D0E" w:rsidR="00462461" w:rsidRPr="00AD368F" w:rsidRDefault="00462461" w:rsidP="00462461">
            <w:pPr>
              <w:jc w:val="right"/>
              <w:rPr>
                <w:color w:val="839496"/>
                <w:sz w:val="21"/>
                <w:szCs w:val="21"/>
              </w:rPr>
            </w:pPr>
            <w:r w:rsidRPr="00AD368F">
              <w:rPr>
                <w:color w:val="839496"/>
                <w:sz w:val="21"/>
                <w:szCs w:val="21"/>
              </w:rPr>
              <w:t>MIR4649</w:t>
            </w:r>
          </w:p>
        </w:tc>
        <w:tc>
          <w:tcPr>
            <w:tcW w:w="0" w:type="auto"/>
          </w:tcPr>
          <w:p w14:paraId="17CD590F" w14:textId="77777777" w:rsidR="00462461" w:rsidRPr="00AD368F" w:rsidRDefault="00462461" w:rsidP="00462461">
            <w:pPr>
              <w:jc w:val="right"/>
              <w:rPr>
                <w:color w:val="839496"/>
                <w:sz w:val="21"/>
                <w:szCs w:val="21"/>
              </w:rPr>
            </w:pPr>
            <w:r w:rsidRPr="00AD368F">
              <w:rPr>
                <w:color w:val="839496"/>
                <w:sz w:val="21"/>
                <w:szCs w:val="21"/>
              </w:rPr>
              <w:t>intergenic/unknown</w:t>
            </w:r>
          </w:p>
        </w:tc>
      </w:tr>
      <w:tr w:rsidR="00462461" w:rsidRPr="00AD368F" w14:paraId="050C2C6B" w14:textId="55B47869" w:rsidTr="008B5530">
        <w:tblPrEx>
          <w:tblCellMar>
            <w:top w:w="0" w:type="dxa"/>
            <w:bottom w:w="0" w:type="dxa"/>
          </w:tblCellMar>
        </w:tblPrEx>
        <w:trPr>
          <w:trHeight w:val="208"/>
        </w:trPr>
        <w:tc>
          <w:tcPr>
            <w:tcW w:w="0" w:type="auto"/>
          </w:tcPr>
          <w:p w14:paraId="276266BD" w14:textId="6D6BE009" w:rsidR="00462461" w:rsidRPr="00AD368F" w:rsidRDefault="00C34A15" w:rsidP="00462461">
            <w:pPr>
              <w:ind w:left="399"/>
              <w:jc w:val="right"/>
              <w:rPr>
                <w:color w:val="839496"/>
                <w:sz w:val="21"/>
                <w:szCs w:val="21"/>
              </w:rPr>
            </w:pPr>
            <w:r w:rsidRPr="00AD368F">
              <w:rPr>
                <w:color w:val="839496"/>
                <w:sz w:val="21"/>
                <w:szCs w:val="21"/>
              </w:rPr>
              <w:t>12</w:t>
            </w:r>
          </w:p>
        </w:tc>
        <w:tc>
          <w:tcPr>
            <w:tcW w:w="0" w:type="auto"/>
          </w:tcPr>
          <w:p w14:paraId="12A3E554" w14:textId="122611D7" w:rsidR="00462461" w:rsidRPr="00AD368F" w:rsidRDefault="00462461" w:rsidP="00462461">
            <w:pPr>
              <w:ind w:left="612"/>
              <w:jc w:val="right"/>
              <w:rPr>
                <w:color w:val="839496"/>
                <w:sz w:val="21"/>
                <w:szCs w:val="21"/>
              </w:rPr>
            </w:pPr>
            <w:r w:rsidRPr="00AD368F">
              <w:rPr>
                <w:color w:val="839496"/>
                <w:sz w:val="21"/>
                <w:szCs w:val="21"/>
              </w:rPr>
              <w:t>rs3087367</w:t>
            </w:r>
          </w:p>
        </w:tc>
        <w:tc>
          <w:tcPr>
            <w:tcW w:w="0" w:type="auto"/>
          </w:tcPr>
          <w:p w14:paraId="04DCE037" w14:textId="3F141549" w:rsidR="00462461" w:rsidRPr="00AD368F" w:rsidRDefault="00462461" w:rsidP="00462461">
            <w:pPr>
              <w:jc w:val="right"/>
              <w:rPr>
                <w:color w:val="839496"/>
                <w:sz w:val="21"/>
                <w:szCs w:val="21"/>
              </w:rPr>
            </w:pPr>
            <w:r w:rsidRPr="00AD368F">
              <w:rPr>
                <w:color w:val="839496"/>
                <w:sz w:val="21"/>
                <w:szCs w:val="21"/>
              </w:rPr>
              <w:t>AEBP1</w:t>
            </w:r>
          </w:p>
        </w:tc>
        <w:tc>
          <w:tcPr>
            <w:tcW w:w="0" w:type="auto"/>
          </w:tcPr>
          <w:p w14:paraId="077C36C1" w14:textId="5149EA9F" w:rsidR="00462461" w:rsidRPr="00AD368F" w:rsidRDefault="00462461" w:rsidP="00462461">
            <w:pPr>
              <w:jc w:val="right"/>
              <w:rPr>
                <w:color w:val="839496"/>
                <w:sz w:val="21"/>
                <w:szCs w:val="21"/>
              </w:rPr>
            </w:pPr>
            <w:r w:rsidRPr="00AD368F">
              <w:rPr>
                <w:color w:val="839496"/>
                <w:sz w:val="21"/>
                <w:szCs w:val="21"/>
              </w:rPr>
              <w:t>intergenic/unknown</w:t>
            </w:r>
          </w:p>
        </w:tc>
      </w:tr>
    </w:tbl>
    <w:p w14:paraId="02117322" w14:textId="1F97555E" w:rsidR="00187E91" w:rsidRDefault="00D72F77" w:rsidP="00D72F77">
      <w:pPr>
        <w:spacing w:line="480" w:lineRule="auto"/>
        <w:ind w:firstLine="720"/>
      </w:pPr>
      <w:r>
        <w:rPr>
          <w:noProof/>
        </w:rPr>
        <w:lastRenderedPageBreak/>
        <mc:AlternateContent>
          <mc:Choice Requires="wps">
            <w:drawing>
              <wp:anchor distT="0" distB="0" distL="114300" distR="114300" simplePos="0" relativeHeight="251661312" behindDoc="1" locked="0" layoutInCell="1" allowOverlap="1" wp14:anchorId="6A06CCF8" wp14:editId="40937099">
                <wp:simplePos x="0" y="0"/>
                <wp:positionH relativeFrom="column">
                  <wp:posOffset>4533900</wp:posOffset>
                </wp:positionH>
                <wp:positionV relativeFrom="paragraph">
                  <wp:posOffset>2133600</wp:posOffset>
                </wp:positionV>
                <wp:extent cx="2318385" cy="635"/>
                <wp:effectExtent l="0" t="0" r="5715" b="3175"/>
                <wp:wrapSquare wrapText="bothSides"/>
                <wp:docPr id="694801371" name="Text Box 1"/>
                <wp:cNvGraphicFramePr/>
                <a:graphic xmlns:a="http://schemas.openxmlformats.org/drawingml/2006/main">
                  <a:graphicData uri="http://schemas.microsoft.com/office/word/2010/wordprocessingShape">
                    <wps:wsp>
                      <wps:cNvSpPr txBox="1"/>
                      <wps:spPr>
                        <a:xfrm>
                          <a:off x="0" y="0"/>
                          <a:ext cx="2318385" cy="635"/>
                        </a:xfrm>
                        <a:prstGeom prst="rect">
                          <a:avLst/>
                        </a:prstGeom>
                        <a:noFill/>
                        <a:ln>
                          <a:noFill/>
                        </a:ln>
                      </wps:spPr>
                      <wps:txbx>
                        <w:txbxContent>
                          <w:p w14:paraId="02632929" w14:textId="40E192BA" w:rsidR="00187E91" w:rsidRPr="00187E91" w:rsidRDefault="00187E91" w:rsidP="00187E91">
                            <w:pPr>
                              <w:pStyle w:val="Caption"/>
                              <w:rPr>
                                <w:rFonts w:ascii="Times New Roman" w:hAnsi="Times New Roman" w:cs="Times New Roman"/>
                              </w:rPr>
                            </w:pPr>
                            <w:r w:rsidRPr="00187E91">
                              <w:rPr>
                                <w:rFonts w:ascii="Times New Roman" w:hAnsi="Times New Roman" w:cs="Times New Roman"/>
                                <w:b/>
                                <w:bCs/>
                              </w:rPr>
                              <w:t xml:space="preserve">Figure </w:t>
                            </w:r>
                            <w:r w:rsidRPr="00187E91">
                              <w:rPr>
                                <w:rFonts w:ascii="Times New Roman" w:hAnsi="Times New Roman" w:cs="Times New Roman"/>
                                <w:b/>
                                <w:bCs/>
                              </w:rPr>
                              <w:fldChar w:fldCharType="begin"/>
                            </w:r>
                            <w:r w:rsidRPr="00187E91">
                              <w:rPr>
                                <w:rFonts w:ascii="Times New Roman" w:hAnsi="Times New Roman" w:cs="Times New Roman"/>
                                <w:b/>
                                <w:bCs/>
                              </w:rPr>
                              <w:instrText xml:space="preserve"> SEQ Figure \* ARABIC </w:instrText>
                            </w:r>
                            <w:r w:rsidRPr="00187E91">
                              <w:rPr>
                                <w:rFonts w:ascii="Times New Roman" w:hAnsi="Times New Roman" w:cs="Times New Roman"/>
                                <w:b/>
                                <w:bCs/>
                              </w:rPr>
                              <w:fldChar w:fldCharType="separate"/>
                            </w:r>
                            <w:r w:rsidRPr="00187E91">
                              <w:rPr>
                                <w:rFonts w:ascii="Times New Roman" w:hAnsi="Times New Roman" w:cs="Times New Roman"/>
                                <w:b/>
                                <w:bCs/>
                                <w:noProof/>
                              </w:rPr>
                              <w:t>2</w:t>
                            </w:r>
                            <w:r w:rsidRPr="00187E91">
                              <w:rPr>
                                <w:rFonts w:ascii="Times New Roman" w:hAnsi="Times New Roman" w:cs="Times New Roman"/>
                                <w:b/>
                                <w:bCs/>
                              </w:rPr>
                              <w:fldChar w:fldCharType="end"/>
                            </w:r>
                            <w:r w:rsidRPr="00187E91">
                              <w:rPr>
                                <w:rFonts w:ascii="Times New Roman" w:hAnsi="Times New Roman" w:cs="Times New Roman"/>
                                <w:b/>
                                <w:bCs/>
                              </w:rPr>
                              <w:t>: QQ-Plot of OGTT2 Study.</w:t>
                            </w:r>
                            <w:r w:rsidRPr="00187E91">
                              <w:rPr>
                                <w:rFonts w:ascii="Times New Roman" w:hAnsi="Times New Roman" w:cs="Times New Roman"/>
                              </w:rPr>
                              <w:t xml:space="preserve"> Negative log10 p-values for each SNP were plotted against a normal distribution of values provided the null hypothesis is true. Results demonstrate strong verifiability with a lambda score of 1.0493.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06CCF8" id="_x0000_s1027" type="#_x0000_t202" style="position:absolute;left:0;text-align:left;margin-left:357pt;margin-top:168pt;width:182.55pt;height:.0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" filled="f" stroked="f">
                <v:textbox style="mso-fit-shape-to-text:t" inset="0,0,0,0">
                  <w:txbxContent>
                    <w:p w14:paraId="02632929" w14:textId="40E192BA" w:rsidR="00187E91" w:rsidRPr="00187E91" w:rsidRDefault="00187E91" w:rsidP="00187E91">
                      <w:pPr>
                        <w:pStyle w:val="Caption"/>
                        <w:rPr>
                          <w:rFonts w:ascii="Times New Roman" w:hAnsi="Times New Roman" w:cs="Times New Roman"/>
                        </w:rPr>
                      </w:pPr>
                      <w:r w:rsidRPr="00187E91">
                        <w:rPr>
                          <w:rFonts w:ascii="Times New Roman" w:hAnsi="Times New Roman" w:cs="Times New Roman"/>
                          <w:b/>
                          <w:bCs/>
                        </w:rPr>
                        <w:t xml:space="preserve">Figure </w:t>
                      </w:r>
                      <w:r w:rsidRPr="00187E91">
                        <w:rPr>
                          <w:rFonts w:ascii="Times New Roman" w:hAnsi="Times New Roman" w:cs="Times New Roman"/>
                          <w:b/>
                          <w:bCs/>
                        </w:rPr>
                        <w:fldChar w:fldCharType="begin"/>
                      </w:r>
                      <w:r w:rsidRPr="00187E91">
                        <w:rPr>
                          <w:rFonts w:ascii="Times New Roman" w:hAnsi="Times New Roman" w:cs="Times New Roman"/>
                          <w:b/>
                          <w:bCs/>
                        </w:rPr>
                        <w:instrText xml:space="preserve"> SEQ Figure \* ARABIC </w:instrText>
                      </w:r>
                      <w:r w:rsidRPr="00187E91">
                        <w:rPr>
                          <w:rFonts w:ascii="Times New Roman" w:hAnsi="Times New Roman" w:cs="Times New Roman"/>
                          <w:b/>
                          <w:bCs/>
                        </w:rPr>
                        <w:fldChar w:fldCharType="separate"/>
                      </w:r>
                      <w:r w:rsidRPr="00187E91">
                        <w:rPr>
                          <w:rFonts w:ascii="Times New Roman" w:hAnsi="Times New Roman" w:cs="Times New Roman"/>
                          <w:b/>
                          <w:bCs/>
                          <w:noProof/>
                        </w:rPr>
                        <w:t>2</w:t>
                      </w:r>
                      <w:r w:rsidRPr="00187E91">
                        <w:rPr>
                          <w:rFonts w:ascii="Times New Roman" w:hAnsi="Times New Roman" w:cs="Times New Roman"/>
                          <w:b/>
                          <w:bCs/>
                        </w:rPr>
                        <w:fldChar w:fldCharType="end"/>
                      </w:r>
                      <w:r w:rsidRPr="00187E91">
                        <w:rPr>
                          <w:rFonts w:ascii="Times New Roman" w:hAnsi="Times New Roman" w:cs="Times New Roman"/>
                          <w:b/>
                          <w:bCs/>
                        </w:rPr>
                        <w:t>: QQ-Plot of OGTT2 Study.</w:t>
                      </w:r>
                      <w:r w:rsidRPr="00187E91">
                        <w:rPr>
                          <w:rFonts w:ascii="Times New Roman" w:hAnsi="Times New Roman" w:cs="Times New Roman"/>
                        </w:rPr>
                        <w:t xml:space="preserve"> Negative log10 p-values for each SNP were plotted against a normal distribution of values provided the null hypothesis is true. Results demonstrate strong verifiability with a lambda score of 1.0493.</w:t>
                      </w:r>
                    </w:p>
                  </w:txbxContent>
                </v:textbox>
                <w10:wrap type="square"/>
              </v:shape>
            </w:pict>
          </mc:Fallback>
        </mc:AlternateContent>
      </w:r>
      <w:r w:rsidR="00A00325" w:rsidRPr="008B5530">
        <w:drawing>
          <wp:anchor distT="0" distB="0" distL="114300" distR="114300" simplePos="0" relativeHeight="251658240" behindDoc="1" locked="0" layoutInCell="1" allowOverlap="1" wp14:anchorId="37FCEA4A" wp14:editId="3269B9BA">
            <wp:simplePos x="0" y="0"/>
            <wp:positionH relativeFrom="column">
              <wp:posOffset>4537075</wp:posOffset>
            </wp:positionH>
            <wp:positionV relativeFrom="paragraph">
              <wp:posOffset>0</wp:posOffset>
            </wp:positionV>
            <wp:extent cx="2066925" cy="2066925"/>
            <wp:effectExtent l="0" t="0" r="3175" b="3175"/>
            <wp:wrapTight wrapText="bothSides">
              <wp:wrapPolygon edited="0">
                <wp:start x="0" y="0"/>
                <wp:lineTo x="0" y="21500"/>
                <wp:lineTo x="21500" y="21500"/>
                <wp:lineTo x="21500" y="0"/>
                <wp:lineTo x="0" y="0"/>
              </wp:wrapPolygon>
            </wp:wrapTight>
            <wp:docPr id="142486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6369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66925" cy="2066925"/>
                    </a:xfrm>
                    <a:prstGeom prst="rect">
                      <a:avLst/>
                    </a:prstGeom>
                  </pic:spPr>
                </pic:pic>
              </a:graphicData>
            </a:graphic>
            <wp14:sizeRelH relativeFrom="page">
              <wp14:pctWidth>0</wp14:pctWidth>
            </wp14:sizeRelH>
            <wp14:sizeRelV relativeFrom="page">
              <wp14:pctHeight>0</wp14:pctHeight>
            </wp14:sizeRelV>
          </wp:anchor>
        </w:drawing>
      </w:r>
      <w:r w:rsidR="00750F50">
        <w:t xml:space="preserve">Nevertheless, as a third computational method to verify the Manhattan plot results, the p-value of each significant SNP and a representative sample of insignificant SNPs were plotted in a QQ-plot in </w:t>
      </w:r>
      <w:r w:rsidR="00750F50">
        <w:rPr>
          <w:b/>
          <w:bCs/>
        </w:rPr>
        <w:t>Figure 2</w:t>
      </w:r>
      <w:r w:rsidR="00750F50">
        <w:t xml:space="preserve">. </w:t>
      </w:r>
      <w:r w:rsidR="008B5530">
        <w:t xml:space="preserve">Although </w:t>
      </w:r>
      <w:r w:rsidR="008B5530">
        <w:rPr>
          <w:b/>
          <w:bCs/>
        </w:rPr>
        <w:t>Figure 1</w:t>
      </w:r>
      <w:r w:rsidR="008B5530">
        <w:t xml:space="preserve"> identifies which SNPs are significant and </w:t>
      </w:r>
      <w:r w:rsidR="008B5530">
        <w:rPr>
          <w:b/>
          <w:bCs/>
        </w:rPr>
        <w:t>Table 1</w:t>
      </w:r>
      <w:r w:rsidR="008B5530">
        <w:t xml:space="preserve"> provides information on which genes these variants are located, </w:t>
      </w:r>
      <w:r w:rsidR="008B5530">
        <w:rPr>
          <w:b/>
          <w:bCs/>
        </w:rPr>
        <w:t>Figure 2</w:t>
      </w:r>
      <w:r w:rsidR="008B5530">
        <w:t xml:space="preserve"> identifies whether any systemic bias exists in the dataset that would nullify the results by amplifying or silencing </w:t>
      </w:r>
      <w:r w:rsidR="00187E91">
        <w:t xml:space="preserve">other potentially significant genes. To quantify the bias present in the dataset, we found the Genomic Inflation Factor </w:t>
      </w:r>
      <w:r w:rsidR="00187E91" w:rsidRPr="00187E91">
        <w:t>λ</w:t>
      </w:r>
      <w:r w:rsidR="00187E91">
        <w:t xml:space="preserve"> to be 1.0493 representing minimal evidence of systemic bias. </w:t>
      </w:r>
    </w:p>
    <w:p w14:paraId="35271E6E" w14:textId="1D8B3EEA" w:rsidR="00D72F77" w:rsidRDefault="00D72F77">
      <w:pPr>
        <w:spacing w:after="160" w:line="278" w:lineRule="auto"/>
        <w:rPr>
          <w:rFonts w:eastAsiaTheme="majorEastAsia"/>
          <w:b/>
          <w:bCs/>
          <w:color w:val="0F4761" w:themeColor="accent1" w:themeShade="BF"/>
          <w:kern w:val="2"/>
          <w:sz w:val="32"/>
          <w:szCs w:val="32"/>
          <w14:ligatures w14:val="standardContextual"/>
        </w:rPr>
      </w:pPr>
    </w:p>
    <w:p w14:paraId="6A7F567C" w14:textId="4459693D" w:rsidR="00A00325" w:rsidRDefault="00A00325" w:rsidP="00A00325">
      <w:pPr>
        <w:pStyle w:val="Heading2"/>
        <w:rPr>
          <w:rFonts w:ascii="Times New Roman" w:hAnsi="Times New Roman" w:cs="Times New Roman"/>
          <w:b/>
          <w:bCs/>
        </w:rPr>
      </w:pPr>
      <w:r>
        <w:rPr>
          <w:rFonts w:ascii="Times New Roman" w:hAnsi="Times New Roman" w:cs="Times New Roman"/>
          <w:b/>
          <w:bCs/>
        </w:rPr>
        <w:t>Discussion</w:t>
      </w:r>
    </w:p>
    <w:p w14:paraId="0828952A" w14:textId="53F731FA" w:rsidR="00D72F77" w:rsidRPr="00D72F77" w:rsidRDefault="00A00325" w:rsidP="00D72F77">
      <w:pPr>
        <w:spacing w:before="240" w:line="480" w:lineRule="auto"/>
      </w:pPr>
      <w:r>
        <w:tab/>
        <w:t xml:space="preserve">The results presented in this OGTT2 study are revealing yet inconclusive. While the data identifies SNPs that are not widely reported in the NIH </w:t>
      </w:r>
      <w:proofErr w:type="spellStart"/>
      <w:r>
        <w:t>dbSNP</w:t>
      </w:r>
      <w:proofErr w:type="spellEnd"/>
      <w:r>
        <w:t xml:space="preserve"> index, none of these SNPs exist within coding regions of the genes. Therefore, a simple conclusion between missense variations and GDM cannot be drawn. Nevertheless, it is entirely possible that some of these variants, such as </w:t>
      </w:r>
      <w:r w:rsidRPr="00A00325">
        <w:t>rs148099371</w:t>
      </w:r>
      <w:r>
        <w:t xml:space="preserve"> (beta = </w:t>
      </w:r>
      <w:r w:rsidRPr="00A00325">
        <w:t>6.905860</w:t>
      </w:r>
      <w:r>
        <w:t xml:space="preserve">) exist in a promoter region of the gene that can exaggerate or inhibit expression levels. </w:t>
      </w:r>
      <w:r w:rsidR="00AD368F">
        <w:t xml:space="preserve">Additionally, while the data presented in this research demonstrates the OGTT2 study, it’s possible that waiting two hours after glucose ingestion masks many individuals who have GDM but can reasonably lower their blood glucose levels by the second measurement. For this reason, future studies should aim to identify data at the 1-hour mark and observe whether any missense SNPs can be observed. Regardless, this study demonstrates the complexity that remains around characterizing GDM. Although GWAS does not reveal a direct </w:t>
      </w:r>
      <w:r w:rsidR="00AD368F">
        <w:lastRenderedPageBreak/>
        <w:t xml:space="preserve">answer or a single protein responsible for the phenomenon, these results give clues as to how </w:t>
      </w:r>
      <w:r w:rsidR="00AD368F" w:rsidRPr="00AD368F">
        <w:t>LOC105369431</w:t>
      </w:r>
      <w:r w:rsidR="00AD368F">
        <w:t xml:space="preserve">, </w:t>
      </w:r>
      <w:r w:rsidR="00AD368F" w:rsidRPr="00AD368F">
        <w:t>MTNR1B</w:t>
      </w:r>
      <w:r w:rsidR="00AD368F">
        <w:t>, and CDKAL1 may be involved in the development of this disease. Moreover, although research is required to understand the exact molecular mechanisms behind GDM, current treatments—such as insulin injections—are provenly safe and effective for most women.</w:t>
      </w:r>
      <w:r w:rsidR="00AD368F">
        <w:rPr>
          <w:rStyle w:val="FootnoteReference"/>
        </w:rPr>
        <w:footnoteReference w:id="6"/>
      </w:r>
      <w:r w:rsidR="00AD368F">
        <w:t xml:space="preserve"> As researchers continue to identify genetic and molecular bases explanations, GDM, though widespread, remains treatable and does not entirely prevent mothers from giving birth to healthy children</w:t>
      </w:r>
      <w:r w:rsidR="00D72F77">
        <w:t>.</w:t>
      </w:r>
    </w:p>
    <w:p w14:paraId="63324174" w14:textId="77777777" w:rsidR="00D72F77" w:rsidRDefault="00D72F77">
      <w:pPr>
        <w:spacing w:after="160" w:line="278" w:lineRule="auto"/>
        <w:rPr>
          <w:b/>
          <w:bCs/>
          <w:sz w:val="28"/>
          <w:szCs w:val="28"/>
        </w:rPr>
      </w:pPr>
      <w:r>
        <w:rPr>
          <w:b/>
          <w:bCs/>
          <w:sz w:val="28"/>
          <w:szCs w:val="28"/>
        </w:rPr>
        <w:br w:type="page"/>
      </w:r>
    </w:p>
    <w:p w14:paraId="0712069B" w14:textId="0E68BD49" w:rsidR="00E367B7" w:rsidRPr="00D72F77" w:rsidRDefault="00E367B7" w:rsidP="00E367B7">
      <w:pPr>
        <w:jc w:val="center"/>
        <w:rPr>
          <w:sz w:val="28"/>
          <w:szCs w:val="28"/>
        </w:rPr>
      </w:pPr>
      <w:r w:rsidRPr="00D72F77">
        <w:rPr>
          <w:b/>
          <w:bCs/>
          <w:sz w:val="28"/>
          <w:szCs w:val="28"/>
        </w:rPr>
        <w:lastRenderedPageBreak/>
        <w:t>Bibliography</w:t>
      </w:r>
    </w:p>
    <w:p w14:paraId="16A281F7" w14:textId="64588449" w:rsidR="00E367B7" w:rsidRDefault="00E367B7" w:rsidP="00D72F77">
      <w:pPr>
        <w:pStyle w:val="NormalWeb"/>
        <w:numPr>
          <w:ilvl w:val="0"/>
          <w:numId w:val="2"/>
        </w:numPr>
        <w:rPr>
          <w:color w:val="000000"/>
        </w:rPr>
      </w:pPr>
      <w:r>
        <w:rPr>
          <w:color w:val="000000"/>
        </w:rPr>
        <w:t>American Diabetes Association.</w:t>
      </w:r>
      <w:r>
        <w:rPr>
          <w:rStyle w:val="apple-converted-space"/>
          <w:color w:val="000000"/>
        </w:rPr>
        <w:t> </w:t>
      </w:r>
      <w:r>
        <w:rPr>
          <w:i/>
          <w:iCs/>
          <w:color w:val="000000"/>
        </w:rPr>
        <w:t>How will this impact my baby?</w:t>
      </w:r>
      <w:r>
        <w:rPr>
          <w:rStyle w:val="apple-converted-space"/>
          <w:color w:val="000000"/>
        </w:rPr>
        <w:t> </w:t>
      </w:r>
      <w:hyperlink r:id="rId10" w:tgtFrame="_blank" w:history="1">
        <w:r>
          <w:rPr>
            <w:rStyle w:val="Hyperlink"/>
          </w:rPr>
          <w:t>https://diabetes.org/living-with-diabetes/pregnancy/gestational-diabetes/how-will-this-impact-my-baby</w:t>
        </w:r>
      </w:hyperlink>
    </w:p>
    <w:p w14:paraId="701ED8EF" w14:textId="25AE0D4E" w:rsidR="00045E13" w:rsidRDefault="00E367B7" w:rsidP="00045E13">
      <w:pPr>
        <w:pStyle w:val="NormalWeb"/>
        <w:numPr>
          <w:ilvl w:val="0"/>
          <w:numId w:val="2"/>
        </w:numPr>
        <w:rPr>
          <w:color w:val="000000"/>
        </w:rPr>
      </w:pPr>
      <w:r>
        <w:rPr>
          <w:color w:val="000000"/>
        </w:rPr>
        <w:t xml:space="preserve">Calvo, M. J., Parra, H., Santeliz, R., Bautista, J., Luzardo, E., Villasmil, N., Martínez, M. S., </w:t>
      </w:r>
      <w:proofErr w:type="spellStart"/>
      <w:r>
        <w:rPr>
          <w:color w:val="000000"/>
        </w:rPr>
        <w:t>Chacín</w:t>
      </w:r>
      <w:proofErr w:type="spellEnd"/>
      <w:r>
        <w:rPr>
          <w:color w:val="000000"/>
        </w:rPr>
        <w:t xml:space="preserve">, M., </w:t>
      </w:r>
      <w:proofErr w:type="spellStart"/>
      <w:r>
        <w:rPr>
          <w:color w:val="000000"/>
        </w:rPr>
        <w:t>Cano</w:t>
      </w:r>
      <w:proofErr w:type="spellEnd"/>
      <w:r>
        <w:rPr>
          <w:color w:val="000000"/>
        </w:rPr>
        <w:t>, C., Checa-Ros, A., D'Marco, L., Bermúdez, V., &amp; De Sanctis, J. B. (2024). The placental role in gestational diabetes mellitus: A molecular perspective.</w:t>
      </w:r>
      <w:r>
        <w:rPr>
          <w:rStyle w:val="apple-converted-space"/>
          <w:color w:val="000000"/>
        </w:rPr>
        <w:t> </w:t>
      </w:r>
      <w:proofErr w:type="spellStart"/>
      <w:r>
        <w:rPr>
          <w:i/>
          <w:iCs/>
          <w:color w:val="000000"/>
        </w:rPr>
        <w:t>touchREVIEWS</w:t>
      </w:r>
      <w:proofErr w:type="spellEnd"/>
      <w:r>
        <w:rPr>
          <w:i/>
          <w:iCs/>
          <w:color w:val="000000"/>
        </w:rPr>
        <w:t xml:space="preserve"> in Endocrinology</w:t>
      </w:r>
      <w:r>
        <w:rPr>
          <w:color w:val="000000"/>
        </w:rPr>
        <w:t>,</w:t>
      </w:r>
      <w:r>
        <w:rPr>
          <w:rStyle w:val="apple-converted-space"/>
          <w:color w:val="000000"/>
        </w:rPr>
        <w:t> </w:t>
      </w:r>
      <w:r>
        <w:rPr>
          <w:i/>
          <w:iCs/>
          <w:color w:val="000000"/>
        </w:rPr>
        <w:t>20</w:t>
      </w:r>
      <w:r>
        <w:rPr>
          <w:color w:val="000000"/>
        </w:rPr>
        <w:t>(1), 5.</w:t>
      </w:r>
      <w:r w:rsidR="00045E13">
        <w:rPr>
          <w:rStyle w:val="apple-converted-space"/>
          <w:color w:val="000000"/>
        </w:rPr>
        <w:t xml:space="preserve"> </w:t>
      </w:r>
      <w:hyperlink r:id="rId11" w:history="1">
        <w:r w:rsidR="00045E13" w:rsidRPr="005F5817">
          <w:rPr>
            <w:rStyle w:val="Hyperlink"/>
          </w:rPr>
          <w:t>https://doi.org/10.17925/EE.2024.20.1.</w:t>
        </w:r>
        <w:r w:rsidR="00045E13" w:rsidRPr="005F5817">
          <w:rPr>
            <w:rStyle w:val="Hyperlink"/>
          </w:rPr>
          <w:t>5</w:t>
        </w:r>
      </w:hyperlink>
    </w:p>
    <w:p w14:paraId="15E03474" w14:textId="77777777" w:rsidR="00045E13" w:rsidRDefault="00045E13" w:rsidP="00045E13">
      <w:pPr>
        <w:pStyle w:val="NormalWeb"/>
        <w:numPr>
          <w:ilvl w:val="0"/>
          <w:numId w:val="2"/>
        </w:numPr>
        <w:rPr>
          <w:color w:val="000000"/>
        </w:rPr>
      </w:pPr>
      <w:r>
        <w:rPr>
          <w:color w:val="000000"/>
        </w:rPr>
        <w:t>Mayo Clinic Staff. (2025, May 30).</w:t>
      </w:r>
      <w:r>
        <w:rPr>
          <w:rStyle w:val="apple-converted-space"/>
          <w:color w:val="000000"/>
        </w:rPr>
        <w:t> </w:t>
      </w:r>
      <w:r>
        <w:rPr>
          <w:i/>
          <w:iCs/>
          <w:color w:val="000000"/>
        </w:rPr>
        <w:t>Gestational diabetes - Diagnosis &amp; treatment</w:t>
      </w:r>
      <w:r>
        <w:rPr>
          <w:color w:val="000000"/>
        </w:rPr>
        <w:t>. Mayo Clinic.</w:t>
      </w:r>
      <w:r>
        <w:rPr>
          <w:rStyle w:val="apple-converted-space"/>
          <w:color w:val="000000"/>
        </w:rPr>
        <w:t> </w:t>
      </w:r>
      <w:hyperlink r:id="rId12" w:tgtFrame="_blank" w:history="1">
        <w:r>
          <w:rPr>
            <w:rStyle w:val="Hyperlink"/>
          </w:rPr>
          <w:t>https://www.mayoclinic.org/diseases-conditions/gestatio</w:t>
        </w:r>
        <w:r>
          <w:rPr>
            <w:rStyle w:val="Hyperlink"/>
          </w:rPr>
          <w:t>n</w:t>
        </w:r>
        <w:r>
          <w:rPr>
            <w:rStyle w:val="Hyperlink"/>
          </w:rPr>
          <w:t>al-diabetes/diagnosis-treatment/drc-20355345</w:t>
        </w:r>
      </w:hyperlink>
    </w:p>
    <w:p w14:paraId="5548F319" w14:textId="77777777" w:rsidR="00045E13" w:rsidRDefault="00045E13" w:rsidP="00045E13">
      <w:pPr>
        <w:pStyle w:val="NormalWeb"/>
        <w:numPr>
          <w:ilvl w:val="0"/>
          <w:numId w:val="2"/>
        </w:numPr>
        <w:rPr>
          <w:color w:val="000000"/>
        </w:rPr>
      </w:pPr>
      <w:r w:rsidRPr="00D72F77">
        <w:rPr>
          <w:color w:val="000000"/>
        </w:rPr>
        <w:t xml:space="preserve">Wang, H., Li, N., </w:t>
      </w:r>
      <w:proofErr w:type="spellStart"/>
      <w:r w:rsidRPr="00D72F77">
        <w:rPr>
          <w:color w:val="000000"/>
        </w:rPr>
        <w:t>Chivese</w:t>
      </w:r>
      <w:proofErr w:type="spellEnd"/>
      <w:r w:rsidRPr="00D72F77">
        <w:rPr>
          <w:color w:val="000000"/>
        </w:rPr>
        <w:t xml:space="preserve">, T., </w:t>
      </w:r>
      <w:proofErr w:type="spellStart"/>
      <w:r w:rsidRPr="00D72F77">
        <w:rPr>
          <w:color w:val="000000"/>
        </w:rPr>
        <w:t>Werfalli</w:t>
      </w:r>
      <w:proofErr w:type="spellEnd"/>
      <w:r w:rsidRPr="00D72F77">
        <w:rPr>
          <w:color w:val="000000"/>
        </w:rPr>
        <w:t xml:space="preserve">, M., Sun, H., Yuen, L., </w:t>
      </w:r>
      <w:proofErr w:type="spellStart"/>
      <w:r w:rsidRPr="00D72F77">
        <w:rPr>
          <w:color w:val="000000"/>
        </w:rPr>
        <w:t>Hoegfeldt</w:t>
      </w:r>
      <w:proofErr w:type="spellEnd"/>
      <w:r w:rsidRPr="00D72F77">
        <w:rPr>
          <w:color w:val="000000"/>
        </w:rPr>
        <w:t xml:space="preserve">, C. A., Powe, C. E., Immanuel, J., </w:t>
      </w:r>
      <w:proofErr w:type="spellStart"/>
      <w:r w:rsidRPr="00D72F77">
        <w:rPr>
          <w:color w:val="000000"/>
        </w:rPr>
        <w:t>Karuranga</w:t>
      </w:r>
      <w:proofErr w:type="spellEnd"/>
      <w:r w:rsidRPr="00D72F77">
        <w:rPr>
          <w:color w:val="000000"/>
        </w:rPr>
        <w:t>, S., Divakar, H., Levitt, N. S., Li, C., Simmons, D., &amp; Ji, L. (2022). IDF Diabetes Atlas: Global estimates of prevalence of gestational diabetes mellitus for 2021.</w:t>
      </w:r>
      <w:r w:rsidRPr="00D72F77">
        <w:rPr>
          <w:rStyle w:val="apple-converted-space"/>
          <w:color w:val="000000"/>
        </w:rPr>
        <w:t> </w:t>
      </w:r>
      <w:r w:rsidRPr="00D72F77">
        <w:rPr>
          <w:i/>
          <w:iCs/>
          <w:color w:val="000000"/>
        </w:rPr>
        <w:t>Diabetes Research and Clinical Practice</w:t>
      </w:r>
      <w:r w:rsidRPr="00D72F77">
        <w:rPr>
          <w:color w:val="000000"/>
        </w:rPr>
        <w:t>,</w:t>
      </w:r>
      <w:r w:rsidRPr="00D72F77">
        <w:rPr>
          <w:rStyle w:val="apple-converted-space"/>
          <w:color w:val="000000"/>
        </w:rPr>
        <w:t> </w:t>
      </w:r>
      <w:r w:rsidRPr="00D72F77">
        <w:rPr>
          <w:i/>
          <w:iCs/>
          <w:color w:val="000000"/>
        </w:rPr>
        <w:t>183</w:t>
      </w:r>
      <w:r w:rsidRPr="00D72F77">
        <w:rPr>
          <w:color w:val="000000"/>
        </w:rPr>
        <w:t xml:space="preserve">, 109050. </w:t>
      </w:r>
      <w:hyperlink r:id="rId13" w:history="1">
        <w:r w:rsidRPr="005F5817">
          <w:rPr>
            <w:rStyle w:val="Hyperlink"/>
          </w:rPr>
          <w:t>https://doi.org/10.1016/j.diabres.2021.109050</w:t>
        </w:r>
      </w:hyperlink>
    </w:p>
    <w:p w14:paraId="6889A6CB" w14:textId="73195568" w:rsidR="00045E13" w:rsidRDefault="00045E13" w:rsidP="00045E13">
      <w:pPr>
        <w:pStyle w:val="NormalWeb"/>
        <w:numPr>
          <w:ilvl w:val="0"/>
          <w:numId w:val="2"/>
        </w:numPr>
        <w:rPr>
          <w:color w:val="000000"/>
        </w:rPr>
      </w:pPr>
      <w:r w:rsidRPr="00D72F77">
        <w:rPr>
          <w:color w:val="000000"/>
        </w:rPr>
        <w:t xml:space="preserve">*Zhen, J., Gu, Y., Wang, P., Wang, W., Bian, S., Huang, S., Liang, H., Huang, M., Yu, Y., Chen, Q., Jiang, G., Qiu, X., Xiong, L., &amp; Liu, S. (2024). Genome-wide association and Mendelian </w:t>
      </w:r>
      <w:proofErr w:type="spellStart"/>
      <w:r w:rsidRPr="00D72F77">
        <w:rPr>
          <w:color w:val="000000"/>
        </w:rPr>
        <w:t>randomisation</w:t>
      </w:r>
      <w:proofErr w:type="spellEnd"/>
      <w:r w:rsidRPr="00D72F77">
        <w:rPr>
          <w:color w:val="000000"/>
        </w:rPr>
        <w:t xml:space="preserve"> analysis among 30,699 Chinese pregnant women identifies novel genetic and molecular risk factors for gestational diabetes and </w:t>
      </w:r>
      <w:proofErr w:type="spellStart"/>
      <w:r w:rsidRPr="00D72F77">
        <w:rPr>
          <w:color w:val="000000"/>
        </w:rPr>
        <w:t>glycaemic</w:t>
      </w:r>
      <w:proofErr w:type="spellEnd"/>
      <w:r w:rsidRPr="00D72F77">
        <w:rPr>
          <w:color w:val="000000"/>
        </w:rPr>
        <w:t xml:space="preserve"> traits.</w:t>
      </w:r>
      <w:r w:rsidRPr="00D72F77">
        <w:rPr>
          <w:rStyle w:val="apple-converted-space"/>
          <w:color w:val="000000"/>
        </w:rPr>
        <w:t> </w:t>
      </w:r>
      <w:proofErr w:type="spellStart"/>
      <w:r w:rsidRPr="00D72F77">
        <w:rPr>
          <w:i/>
          <w:iCs/>
          <w:color w:val="000000"/>
        </w:rPr>
        <w:t>Diabetologia</w:t>
      </w:r>
      <w:proofErr w:type="spellEnd"/>
      <w:r w:rsidRPr="00D72F77">
        <w:rPr>
          <w:color w:val="000000"/>
        </w:rPr>
        <w:t>,</w:t>
      </w:r>
      <w:r w:rsidRPr="00D72F77">
        <w:rPr>
          <w:rStyle w:val="apple-converted-space"/>
          <w:color w:val="000000"/>
        </w:rPr>
        <w:t> </w:t>
      </w:r>
      <w:r w:rsidRPr="00D72F77">
        <w:rPr>
          <w:i/>
          <w:iCs/>
          <w:color w:val="000000"/>
        </w:rPr>
        <w:t>67</w:t>
      </w:r>
      <w:r w:rsidRPr="00D72F77">
        <w:rPr>
          <w:color w:val="000000"/>
        </w:rPr>
        <w:t>(5), 844–857.</w:t>
      </w:r>
      <w:r w:rsidRPr="00D72F77">
        <w:rPr>
          <w:rStyle w:val="apple-converted-space"/>
          <w:color w:val="000000"/>
        </w:rPr>
        <w:t> </w:t>
      </w:r>
      <w:hyperlink r:id="rId14" w:history="1">
        <w:r w:rsidRPr="005F5817">
          <w:rPr>
            <w:rStyle w:val="Hyperlink"/>
          </w:rPr>
          <w:t>https://doi.org/10.1007/s00125-023-06065-5</w:t>
        </w:r>
      </w:hyperlink>
    </w:p>
    <w:p w14:paraId="756AF280" w14:textId="01E6424F" w:rsidR="00E367B7" w:rsidRDefault="00E367B7" w:rsidP="00E367B7"/>
    <w:p w14:paraId="160DA25D" w14:textId="77777777" w:rsidR="00D72F77" w:rsidRDefault="00D72F77" w:rsidP="00E367B7">
      <w:pPr>
        <w:jc w:val="center"/>
        <w:rPr>
          <w:b/>
          <w:bCs/>
        </w:rPr>
      </w:pPr>
    </w:p>
    <w:p w14:paraId="2ACADC68" w14:textId="77777777" w:rsidR="00D72F77" w:rsidRDefault="00D72F77" w:rsidP="00E367B7">
      <w:pPr>
        <w:jc w:val="center"/>
        <w:rPr>
          <w:b/>
          <w:bCs/>
        </w:rPr>
      </w:pPr>
    </w:p>
    <w:p w14:paraId="2A616594" w14:textId="77777777" w:rsidR="00D72F77" w:rsidRDefault="00D72F77" w:rsidP="00E367B7">
      <w:pPr>
        <w:jc w:val="center"/>
        <w:rPr>
          <w:b/>
          <w:bCs/>
        </w:rPr>
      </w:pPr>
    </w:p>
    <w:p w14:paraId="31D730A8" w14:textId="77777777" w:rsidR="00D72F77" w:rsidRDefault="00D72F77" w:rsidP="00E367B7">
      <w:pPr>
        <w:jc w:val="center"/>
        <w:rPr>
          <w:b/>
          <w:bCs/>
        </w:rPr>
      </w:pPr>
    </w:p>
    <w:p w14:paraId="227F5377" w14:textId="2772644A" w:rsidR="00E367B7" w:rsidRPr="00D72F77" w:rsidRDefault="00E367B7" w:rsidP="00E367B7">
      <w:pPr>
        <w:jc w:val="center"/>
        <w:rPr>
          <w:b/>
          <w:bCs/>
          <w:sz w:val="28"/>
          <w:szCs w:val="28"/>
        </w:rPr>
      </w:pPr>
      <w:r w:rsidRPr="00D72F77">
        <w:rPr>
          <w:b/>
          <w:bCs/>
          <w:sz w:val="28"/>
          <w:szCs w:val="28"/>
        </w:rPr>
        <w:t>AI Usage</w:t>
      </w:r>
    </w:p>
    <w:p w14:paraId="54F9A713" w14:textId="77777777" w:rsidR="00D72F77" w:rsidRDefault="00D72F77" w:rsidP="00E367B7">
      <w:pPr>
        <w:jc w:val="center"/>
      </w:pPr>
    </w:p>
    <w:p w14:paraId="3461A8CE" w14:textId="282FB32D" w:rsidR="00E367B7" w:rsidRDefault="00E367B7" w:rsidP="00E367B7">
      <w:pPr>
        <w:spacing w:after="160" w:line="278" w:lineRule="auto"/>
      </w:pPr>
      <w:r>
        <w:tab/>
        <w:t>AI was not used in the writing of nor research for any part of this paper.</w:t>
      </w:r>
      <w:r w:rsidR="00D72F77">
        <w:t xml:space="preserve"> AI was only used in the guidance for and generation of a portion of code in the Jupyter Notebook.</w:t>
      </w:r>
    </w:p>
    <w:p w14:paraId="48FCA55D" w14:textId="77777777" w:rsidR="00D72F77" w:rsidRDefault="00D72F77" w:rsidP="00D72F77">
      <w:pPr>
        <w:pStyle w:val="NormalWeb"/>
        <w:spacing w:before="0" w:beforeAutospacing="0" w:after="0" w:afterAutospacing="0" w:line="480" w:lineRule="auto"/>
        <w:rPr>
          <w:b/>
          <w:bCs/>
          <w:color w:val="000000"/>
          <w:sz w:val="28"/>
          <w:szCs w:val="28"/>
        </w:rPr>
      </w:pPr>
    </w:p>
    <w:p w14:paraId="54DD3900" w14:textId="77777777" w:rsidR="00D72F77" w:rsidRDefault="00D72F77" w:rsidP="00D72F77">
      <w:pPr>
        <w:pStyle w:val="NormalWeb"/>
        <w:spacing w:before="0" w:beforeAutospacing="0" w:after="0" w:afterAutospacing="0" w:line="480" w:lineRule="auto"/>
        <w:rPr>
          <w:b/>
          <w:bCs/>
          <w:color w:val="000000"/>
          <w:sz w:val="28"/>
          <w:szCs w:val="28"/>
        </w:rPr>
      </w:pPr>
    </w:p>
    <w:p w14:paraId="231F2AE6" w14:textId="77777777" w:rsidR="00D72F77" w:rsidRDefault="00D72F77" w:rsidP="00D72F77">
      <w:pPr>
        <w:pStyle w:val="NormalWeb"/>
        <w:spacing w:before="0" w:beforeAutospacing="0" w:after="0" w:afterAutospacing="0" w:line="480" w:lineRule="auto"/>
        <w:rPr>
          <w:b/>
          <w:bCs/>
          <w:color w:val="000000"/>
          <w:sz w:val="28"/>
          <w:szCs w:val="28"/>
        </w:rPr>
      </w:pPr>
    </w:p>
    <w:p w14:paraId="0FA211C9" w14:textId="493576E6" w:rsidR="00D72F77" w:rsidRDefault="00D72F77" w:rsidP="00D72F77">
      <w:pPr>
        <w:pStyle w:val="NormalWeb"/>
        <w:spacing w:before="0" w:beforeAutospacing="0" w:after="0" w:afterAutospacing="0" w:line="480" w:lineRule="auto"/>
        <w:rPr>
          <w:color w:val="000000"/>
        </w:rPr>
      </w:pPr>
      <w:r>
        <w:rPr>
          <w:b/>
          <w:bCs/>
          <w:color w:val="000000"/>
          <w:sz w:val="28"/>
          <w:szCs w:val="28"/>
        </w:rPr>
        <w:t>Acknowledgements</w:t>
      </w:r>
    </w:p>
    <w:p w14:paraId="33008F6F" w14:textId="19C427C1" w:rsidR="00D72F77" w:rsidRPr="00D72F77" w:rsidRDefault="00D72F77" w:rsidP="00D72F77">
      <w:pPr>
        <w:pStyle w:val="NormalWeb"/>
        <w:spacing w:before="0" w:beforeAutospacing="0" w:after="0" w:afterAutospacing="0" w:line="480" w:lineRule="auto"/>
        <w:rPr>
          <w:color w:val="000000"/>
        </w:rPr>
      </w:pPr>
      <w:r>
        <w:rPr>
          <w:color w:val="000000"/>
        </w:rPr>
        <w:t xml:space="preserve">We are grateful to </w:t>
      </w:r>
      <w:r>
        <w:rPr>
          <w:color w:val="000000"/>
        </w:rPr>
        <w:t xml:space="preserve">Professor Kinkhabwala </w:t>
      </w:r>
      <w:r>
        <w:rPr>
          <w:color w:val="000000"/>
        </w:rPr>
        <w:t xml:space="preserve">for her oversight in this research. This study was supported by the </w:t>
      </w:r>
      <w:r>
        <w:rPr>
          <w:color w:val="000000"/>
        </w:rPr>
        <w:t>Biology</w:t>
      </w:r>
      <w:r>
        <w:rPr>
          <w:color w:val="000000"/>
        </w:rPr>
        <w:t xml:space="preserve"> department at Occidental College.</w:t>
      </w:r>
    </w:p>
    <w:sectPr w:rsidR="00D72F77" w:rsidRPr="00D72F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C33D6" w14:textId="77777777" w:rsidR="00392DD5" w:rsidRDefault="00392DD5" w:rsidP="00767268">
      <w:r>
        <w:separator/>
      </w:r>
    </w:p>
  </w:endnote>
  <w:endnote w:type="continuationSeparator" w:id="0">
    <w:p w14:paraId="7CB9519C" w14:textId="77777777" w:rsidR="00392DD5" w:rsidRDefault="00392DD5" w:rsidP="00767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50BEB" w14:textId="77777777" w:rsidR="00392DD5" w:rsidRDefault="00392DD5" w:rsidP="00767268">
      <w:r>
        <w:separator/>
      </w:r>
    </w:p>
  </w:footnote>
  <w:footnote w:type="continuationSeparator" w:id="0">
    <w:p w14:paraId="4E599C65" w14:textId="77777777" w:rsidR="00392DD5" w:rsidRDefault="00392DD5" w:rsidP="00767268">
      <w:r>
        <w:continuationSeparator/>
      </w:r>
    </w:p>
  </w:footnote>
  <w:footnote w:id="1">
    <w:p w14:paraId="53803B43" w14:textId="2E623E09" w:rsidR="00767268" w:rsidRDefault="00767268">
      <w:pPr>
        <w:pStyle w:val="FootnoteText"/>
      </w:pPr>
      <w:r>
        <w:rPr>
          <w:rStyle w:val="FootnoteReference"/>
        </w:rPr>
        <w:footnoteRef/>
      </w:r>
      <w:r>
        <w:t xml:space="preserve"> </w:t>
      </w:r>
      <w:r w:rsidR="00D72F77" w:rsidRPr="00D72F77">
        <w:t>H. Wang et al., "IDF Diabetes Atlas: Global estimates of prevalence of gestational diabetes mellitus for 2021," Diabetes Research and Clinical Practice 183 (2022): 109050</w:t>
      </w:r>
      <w:r w:rsidR="00D72F77">
        <w:t>.</w:t>
      </w:r>
    </w:p>
  </w:footnote>
  <w:footnote w:id="2">
    <w:p w14:paraId="7B44A8FE" w14:textId="5832C2A6" w:rsidR="00511126" w:rsidRDefault="00511126" w:rsidP="00511126">
      <w:pPr>
        <w:pStyle w:val="FootnoteText"/>
      </w:pPr>
      <w:r>
        <w:rPr>
          <w:rStyle w:val="FootnoteReference"/>
        </w:rPr>
        <w:footnoteRef/>
      </w:r>
      <w:r>
        <w:t xml:space="preserve"> </w:t>
      </w:r>
      <w:r w:rsidR="00D72F77" w:rsidRPr="00D72F77">
        <w:t xml:space="preserve">M. J. Calvo et al., "The placental role in gestational diabetes mellitus: A molecular perspective," </w:t>
      </w:r>
      <w:proofErr w:type="spellStart"/>
      <w:r w:rsidR="00D72F77" w:rsidRPr="00D72F77">
        <w:t>touchREVIEWS</w:t>
      </w:r>
      <w:proofErr w:type="spellEnd"/>
      <w:r w:rsidR="00D72F77" w:rsidRPr="00D72F77">
        <w:t xml:space="preserve"> in Endocrinology 20, no. 1 (2024): 5</w:t>
      </w:r>
      <w:r w:rsidR="00D72F77">
        <w:t>.</w:t>
      </w:r>
    </w:p>
  </w:footnote>
  <w:footnote w:id="3">
    <w:p w14:paraId="48FDDDDA" w14:textId="49037BA0" w:rsidR="00767268" w:rsidRDefault="00767268">
      <w:pPr>
        <w:pStyle w:val="FootnoteText"/>
      </w:pPr>
      <w:r>
        <w:rPr>
          <w:rStyle w:val="FootnoteReference"/>
        </w:rPr>
        <w:footnoteRef/>
      </w:r>
      <w:r>
        <w:t xml:space="preserve"> </w:t>
      </w:r>
      <w:r w:rsidR="00D72F77" w:rsidRPr="00D72F77">
        <w:t>American Diabetes Association, "How will this impact my baby?" accessed May 3, 2026</w:t>
      </w:r>
      <w:r w:rsidR="00D72F77">
        <w:t>.</w:t>
      </w:r>
    </w:p>
  </w:footnote>
  <w:footnote w:id="4">
    <w:p w14:paraId="1BFB1FA6" w14:textId="111F6E06" w:rsidR="00767268" w:rsidRDefault="00767268">
      <w:pPr>
        <w:pStyle w:val="FootnoteText"/>
      </w:pPr>
      <w:r>
        <w:rPr>
          <w:rStyle w:val="FootnoteReference"/>
        </w:rPr>
        <w:footnoteRef/>
      </w:r>
      <w:r>
        <w:t xml:space="preserve"> </w:t>
      </w:r>
      <w:r w:rsidR="00D72F77" w:rsidRPr="00D72F77">
        <w:t>H. Wang et al., "IDF Diabetes Atlas: Global estimates of prevalence of gestational diabetes mellitus for 2021," Diabetes Research and Clinical Practice 183 (2022): 109050.</w:t>
      </w:r>
    </w:p>
  </w:footnote>
  <w:footnote w:id="5">
    <w:p w14:paraId="0ADDDB26" w14:textId="7D07C51C" w:rsidR="00E86908" w:rsidRDefault="00E86908">
      <w:pPr>
        <w:pStyle w:val="FootnoteText"/>
      </w:pPr>
      <w:r>
        <w:rPr>
          <w:rStyle w:val="FootnoteReference"/>
        </w:rPr>
        <w:footnoteRef/>
      </w:r>
      <w:r>
        <w:t xml:space="preserve"> </w:t>
      </w:r>
      <w:r w:rsidR="00D72F77" w:rsidRPr="00D72F77">
        <w:t xml:space="preserve">J. Zhen et al., "Genome-wide association and Mendelian </w:t>
      </w:r>
      <w:proofErr w:type="spellStart"/>
      <w:r w:rsidR="00D72F77" w:rsidRPr="00D72F77">
        <w:t>randomisation</w:t>
      </w:r>
      <w:proofErr w:type="spellEnd"/>
      <w:r w:rsidR="00D72F77" w:rsidRPr="00D72F77">
        <w:t xml:space="preserve"> analysis among 30,699 Chinese pregnant women identifies novel genetic and molecular risk factors for gestational diabetes and </w:t>
      </w:r>
      <w:proofErr w:type="spellStart"/>
      <w:r w:rsidR="00D72F77" w:rsidRPr="00D72F77">
        <w:t>glycaemic</w:t>
      </w:r>
      <w:proofErr w:type="spellEnd"/>
      <w:r w:rsidR="00D72F77" w:rsidRPr="00D72F77">
        <w:t xml:space="preserve"> traits," </w:t>
      </w:r>
      <w:proofErr w:type="spellStart"/>
      <w:r w:rsidR="00D72F77" w:rsidRPr="00D72F77">
        <w:t>Diabetologia</w:t>
      </w:r>
      <w:proofErr w:type="spellEnd"/>
      <w:r w:rsidR="00D72F77" w:rsidRPr="00D72F77">
        <w:t xml:space="preserve"> 67, no. 5 (2024): 844–857</w:t>
      </w:r>
      <w:r w:rsidR="00D72F77">
        <w:t>.</w:t>
      </w:r>
    </w:p>
  </w:footnote>
  <w:footnote w:id="6">
    <w:p w14:paraId="106B33E3" w14:textId="180D67F7" w:rsidR="00AD368F" w:rsidRDefault="00AD368F">
      <w:pPr>
        <w:pStyle w:val="FootnoteText"/>
      </w:pPr>
      <w:r>
        <w:rPr>
          <w:rStyle w:val="FootnoteReference"/>
        </w:rPr>
        <w:footnoteRef/>
      </w:r>
      <w:r>
        <w:t xml:space="preserve"> </w:t>
      </w:r>
      <w:r w:rsidRPr="00AD368F">
        <w:t>https://www.mayoclinic.org/diseases-conditions/gestational-diabetes/diagnosis-treatment/drc-20355345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E44B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94C148D"/>
    <w:multiLevelType w:val="hybridMultilevel"/>
    <w:tmpl w:val="06205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6332681">
    <w:abstractNumId w:val="0"/>
  </w:num>
  <w:num w:numId="2" w16cid:durableId="873159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606"/>
    <w:rsid w:val="00045E13"/>
    <w:rsid w:val="00121AD3"/>
    <w:rsid w:val="00187E91"/>
    <w:rsid w:val="001C5B90"/>
    <w:rsid w:val="002124A2"/>
    <w:rsid w:val="002A5A58"/>
    <w:rsid w:val="003163C1"/>
    <w:rsid w:val="00346E78"/>
    <w:rsid w:val="00392DD5"/>
    <w:rsid w:val="003B1AC0"/>
    <w:rsid w:val="00462461"/>
    <w:rsid w:val="004D469A"/>
    <w:rsid w:val="004D4EF4"/>
    <w:rsid w:val="00511126"/>
    <w:rsid w:val="00694606"/>
    <w:rsid w:val="00750F50"/>
    <w:rsid w:val="00767268"/>
    <w:rsid w:val="008B5530"/>
    <w:rsid w:val="009317AB"/>
    <w:rsid w:val="009D113B"/>
    <w:rsid w:val="00A00325"/>
    <w:rsid w:val="00AD368F"/>
    <w:rsid w:val="00C34A15"/>
    <w:rsid w:val="00C66354"/>
    <w:rsid w:val="00CC7F26"/>
    <w:rsid w:val="00D72F77"/>
    <w:rsid w:val="00DE60E4"/>
    <w:rsid w:val="00E367B7"/>
    <w:rsid w:val="00E86908"/>
    <w:rsid w:val="00E93CAD"/>
    <w:rsid w:val="00FD13C6"/>
    <w:rsid w:val="00FE5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C1774"/>
  <w15:chartTrackingRefBased/>
  <w15:docId w15:val="{903C62AE-279B-7A4F-BA4D-9D559CF83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EF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9460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9460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9460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9460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9460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9460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9460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9460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9460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6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46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6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6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6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606"/>
    <w:rPr>
      <w:rFonts w:eastAsiaTheme="majorEastAsia" w:cstheme="majorBidi"/>
      <w:color w:val="272727" w:themeColor="text1" w:themeTint="D8"/>
    </w:rPr>
  </w:style>
  <w:style w:type="paragraph" w:styleId="Title">
    <w:name w:val="Title"/>
    <w:basedOn w:val="Normal"/>
    <w:next w:val="Normal"/>
    <w:link w:val="TitleChar"/>
    <w:uiPriority w:val="10"/>
    <w:qFormat/>
    <w:rsid w:val="0069460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94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60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94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60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94606"/>
    <w:rPr>
      <w:i/>
      <w:iCs/>
      <w:color w:val="404040" w:themeColor="text1" w:themeTint="BF"/>
    </w:rPr>
  </w:style>
  <w:style w:type="paragraph" w:styleId="ListParagraph">
    <w:name w:val="List Paragraph"/>
    <w:basedOn w:val="Normal"/>
    <w:uiPriority w:val="34"/>
    <w:qFormat/>
    <w:rsid w:val="0069460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94606"/>
    <w:rPr>
      <w:i/>
      <w:iCs/>
      <w:color w:val="0F4761" w:themeColor="accent1" w:themeShade="BF"/>
    </w:rPr>
  </w:style>
  <w:style w:type="paragraph" w:styleId="IntenseQuote">
    <w:name w:val="Intense Quote"/>
    <w:basedOn w:val="Normal"/>
    <w:next w:val="Normal"/>
    <w:link w:val="IntenseQuoteChar"/>
    <w:uiPriority w:val="30"/>
    <w:qFormat/>
    <w:rsid w:val="0069460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94606"/>
    <w:rPr>
      <w:i/>
      <w:iCs/>
      <w:color w:val="0F4761" w:themeColor="accent1" w:themeShade="BF"/>
    </w:rPr>
  </w:style>
  <w:style w:type="character" w:styleId="IntenseReference">
    <w:name w:val="Intense Reference"/>
    <w:basedOn w:val="DefaultParagraphFont"/>
    <w:uiPriority w:val="32"/>
    <w:qFormat/>
    <w:rsid w:val="00694606"/>
    <w:rPr>
      <w:b/>
      <w:bCs/>
      <w:smallCaps/>
      <w:color w:val="0F4761" w:themeColor="accent1" w:themeShade="BF"/>
      <w:spacing w:val="5"/>
    </w:rPr>
  </w:style>
  <w:style w:type="paragraph" w:styleId="ListBullet">
    <w:name w:val="List Bullet"/>
    <w:basedOn w:val="Normal"/>
    <w:uiPriority w:val="99"/>
    <w:unhideWhenUsed/>
    <w:rsid w:val="00346E78"/>
    <w:pPr>
      <w:numPr>
        <w:numId w:val="1"/>
      </w:numPr>
      <w:spacing w:after="160" w:line="278" w:lineRule="auto"/>
      <w:contextualSpacing/>
    </w:pPr>
    <w:rPr>
      <w:rFonts w:asciiTheme="minorHAnsi" w:eastAsiaTheme="minorHAnsi" w:hAnsiTheme="minorHAnsi" w:cstheme="minorBidi"/>
      <w:kern w:val="2"/>
      <w14:ligatures w14:val="standardContextual"/>
    </w:rPr>
  </w:style>
  <w:style w:type="paragraph" w:styleId="Revision">
    <w:name w:val="Revision"/>
    <w:hidden/>
    <w:uiPriority w:val="99"/>
    <w:semiHidden/>
    <w:rsid w:val="00346E78"/>
    <w:pPr>
      <w:spacing w:after="0" w:line="240" w:lineRule="auto"/>
    </w:pPr>
  </w:style>
  <w:style w:type="paragraph" w:styleId="FootnoteText">
    <w:name w:val="footnote text"/>
    <w:basedOn w:val="Normal"/>
    <w:link w:val="FootnoteTextChar"/>
    <w:uiPriority w:val="99"/>
    <w:semiHidden/>
    <w:unhideWhenUsed/>
    <w:rsid w:val="00767268"/>
    <w:rPr>
      <w:rFonts w:asciiTheme="minorHAnsi" w:eastAsiaTheme="minorHAnsi" w:hAnsiTheme="minorHAnsi" w:cstheme="minorBidi"/>
      <w:kern w:val="2"/>
      <w:sz w:val="20"/>
      <w:szCs w:val="20"/>
      <w14:ligatures w14:val="standardContextual"/>
    </w:rPr>
  </w:style>
  <w:style w:type="character" w:customStyle="1" w:styleId="FootnoteTextChar">
    <w:name w:val="Footnote Text Char"/>
    <w:basedOn w:val="DefaultParagraphFont"/>
    <w:link w:val="FootnoteText"/>
    <w:uiPriority w:val="99"/>
    <w:semiHidden/>
    <w:rsid w:val="00767268"/>
    <w:rPr>
      <w:sz w:val="20"/>
      <w:szCs w:val="20"/>
    </w:rPr>
  </w:style>
  <w:style w:type="character" w:styleId="FootnoteReference">
    <w:name w:val="footnote reference"/>
    <w:basedOn w:val="DefaultParagraphFont"/>
    <w:uiPriority w:val="99"/>
    <w:semiHidden/>
    <w:unhideWhenUsed/>
    <w:rsid w:val="00767268"/>
    <w:rPr>
      <w:vertAlign w:val="superscript"/>
    </w:rPr>
  </w:style>
  <w:style w:type="paragraph" w:styleId="Caption">
    <w:name w:val="caption"/>
    <w:basedOn w:val="Normal"/>
    <w:next w:val="Normal"/>
    <w:uiPriority w:val="35"/>
    <w:unhideWhenUsed/>
    <w:qFormat/>
    <w:rsid w:val="008B5530"/>
    <w:pPr>
      <w:spacing w:after="200"/>
    </w:pPr>
    <w:rPr>
      <w:rFonts w:asciiTheme="minorHAnsi" w:eastAsiaTheme="minorHAnsi" w:hAnsiTheme="minorHAnsi" w:cstheme="minorBidi"/>
      <w:i/>
      <w:iCs/>
      <w:color w:val="0E2841" w:themeColor="text2"/>
      <w:kern w:val="2"/>
      <w:sz w:val="18"/>
      <w:szCs w:val="18"/>
      <w14:ligatures w14:val="standardContextual"/>
    </w:rPr>
  </w:style>
  <w:style w:type="paragraph" w:styleId="NormalWeb">
    <w:name w:val="Normal (Web)"/>
    <w:basedOn w:val="Normal"/>
    <w:uiPriority w:val="99"/>
    <w:unhideWhenUsed/>
    <w:rsid w:val="00E367B7"/>
    <w:pPr>
      <w:spacing w:before="100" w:beforeAutospacing="1" w:after="100" w:afterAutospacing="1"/>
    </w:pPr>
  </w:style>
  <w:style w:type="character" w:customStyle="1" w:styleId="apple-converted-space">
    <w:name w:val="apple-converted-space"/>
    <w:basedOn w:val="DefaultParagraphFont"/>
    <w:rsid w:val="00E367B7"/>
  </w:style>
  <w:style w:type="character" w:styleId="Hyperlink">
    <w:name w:val="Hyperlink"/>
    <w:basedOn w:val="DefaultParagraphFont"/>
    <w:uiPriority w:val="99"/>
    <w:unhideWhenUsed/>
    <w:rsid w:val="00E367B7"/>
    <w:rPr>
      <w:color w:val="0000FF"/>
      <w:u w:val="single"/>
    </w:rPr>
  </w:style>
  <w:style w:type="character" w:styleId="FollowedHyperlink">
    <w:name w:val="FollowedHyperlink"/>
    <w:basedOn w:val="DefaultParagraphFont"/>
    <w:uiPriority w:val="99"/>
    <w:semiHidden/>
    <w:unhideWhenUsed/>
    <w:rsid w:val="00E367B7"/>
    <w:rPr>
      <w:color w:val="96607D" w:themeColor="followedHyperlink"/>
      <w:u w:val="single"/>
    </w:rPr>
  </w:style>
  <w:style w:type="character" w:styleId="UnresolvedMention">
    <w:name w:val="Unresolved Mention"/>
    <w:basedOn w:val="DefaultParagraphFont"/>
    <w:uiPriority w:val="99"/>
    <w:semiHidden/>
    <w:unhideWhenUsed/>
    <w:rsid w:val="00D72F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j.diabres.2021.10905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ayoclinic.org/diseases-conditions/gestational-diabetes/diagnosis-treatment/drc-2035534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7925/EE.2024.20.1.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iabetes.org/living-with-diabetes/pregnancy/gestational-diabetes/how-will-this-impact-my-bab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7/s00125-023-0606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8C455-1E48-4A4D-A6E2-5A48E94E1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6</Pages>
  <Words>1297</Words>
  <Characters>7394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Share</dc:creator>
  <cp:keywords/>
  <dc:description/>
  <cp:lastModifiedBy>Kyle Share</cp:lastModifiedBy>
  <cp:revision>3</cp:revision>
  <dcterms:created xsi:type="dcterms:W3CDTF">2026-05-03T16:20:00Z</dcterms:created>
  <dcterms:modified xsi:type="dcterms:W3CDTF">2026-05-03T22:31:00Z</dcterms:modified>
</cp:coreProperties>
</file>