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72"/>
      </w:tblGrid>
      <w:tr>
        <w:tc>
          <w:tcPr>
            <w:tcW w:type="dxa" w:w="9792"/>
            <w:shd w:fill="0F172A" w:val="clear"/>
            <w:tcMar>
              <w:top w:w="200" w:type="dxa"/>
              <w:bottom w:w="200" w:type="dxa"/>
              <w:left w:w="240" w:type="dxa"/>
              <w:right w:w="240" w:type="dxa"/>
            </w:tcMar>
          </w:tcPr>
          <w:p>
            <w:pPr>
              <w:spacing w:after="40"/>
              <w:jc w:val="left"/>
            </w:pPr>
            <w:r>
              <w:rPr>
                <w:rFonts w:ascii="Segoe UI" w:hAnsi="Segoe UI"/>
                <w:b/>
                <w:color w:val="D97706"/>
                <w:sz w:val="17"/>
              </w:rPr>
              <w:t>CONFIDENTIAL // ENGINEERING &amp; ARCHITECTURE CONCEPT NOTE</w:t>
            </w:r>
          </w:p>
          <w:p>
            <w:pPr>
              <w:spacing w:after="80"/>
              <w:jc w:val="left"/>
            </w:pPr>
            <w:r>
              <w:rPr>
                <w:rFonts w:ascii="Segoe UI" w:hAnsi="Segoe UI"/>
                <w:b/>
                <w:color w:val="FFFFFF"/>
                <w:sz w:val="34"/>
              </w:rPr>
              <w:t>KSHETRA (क्षेत्र) — India's Political Operating System</w:t>
            </w:r>
          </w:p>
          <w:p>
            <w:pPr>
              <w:spacing w:after="120"/>
              <w:jc w:val="left"/>
            </w:pPr>
            <w:r>
              <w:rPr>
                <w:rFonts w:ascii="Segoe UI" w:hAnsi="Segoe UI"/>
                <w:color w:val="CBD5E1"/>
                <w:sz w:val="21"/>
              </w:rPr>
              <w:t>A Spatial-First Civic Tech, Media Intelligence &amp; Political Campaign SaaS Platform Built for the Post-Delimitation Era</w:t>
            </w:r>
          </w:p>
          <w:p>
            <w:pPr>
              <w:spacing w:after="0"/>
              <w:jc w:val="left"/>
            </w:pPr>
            <w:r>
              <w:rPr>
                <w:rFonts w:ascii="Segoe UI" w:hAnsi="Segoe UI"/>
                <w:i/>
                <w:color w:val="94A3B8"/>
                <w:sz w:val="17"/>
              </w:rPr>
              <w:t>Target: Technical Co-Founder / Lead Architect Evaluation  |  Codebase State: Production-Grade Monorepo (EXIT 0)  |  Version 1.0</w:t>
            </w:r>
          </w:p>
        </w:tc>
      </w:tr>
    </w:tbl>
    <w:p>
      <w:pPr>
        <w:spacing w:after="160" w:before="0" w:line="276" w:lineRule="auto"/>
        <w:jc w:val="left"/>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93"/>
        <w:gridCol w:w="2493"/>
        <w:gridCol w:w="2493"/>
        <w:gridCol w:w="2493"/>
      </w:tblGrid>
      <w:tr>
        <w:tc>
          <w:tcPr>
            <w:tcW w:type="dxa" w:w="2448"/>
            <w:shd w:fill="F8FAFC" w:val="clear"/>
            <w:tcMar>
              <w:top w:w="100" w:type="dxa"/>
              <w:bottom w:w="60" w:type="dxa"/>
              <w:left w:w="80" w:type="dxa"/>
              <w:right w:w="80" w:type="dxa"/>
            </w:tcMar>
          </w:tcPr>
          <w:p>
            <w:pPr>
              <w:spacing w:after="0"/>
              <w:jc w:val="center"/>
            </w:pPr>
            <w:r>
              <w:rPr>
                <w:rFonts w:ascii="Segoe UI" w:hAnsi="Segoe UI"/>
                <w:b/>
                <w:color w:val="2563EB"/>
                <w:sz w:val="22"/>
              </w:rPr>
              <w:t>22 States / UTs</w:t>
            </w:r>
          </w:p>
        </w:tc>
        <w:tc>
          <w:tcPr>
            <w:tcW w:type="dxa" w:w="2448"/>
            <w:shd w:fill="F8FAFC" w:val="clear"/>
            <w:tcMar>
              <w:top w:w="100" w:type="dxa"/>
              <w:bottom w:w="60" w:type="dxa"/>
              <w:left w:w="80" w:type="dxa"/>
              <w:right w:w="80" w:type="dxa"/>
            </w:tcMar>
          </w:tcPr>
          <w:p>
            <w:pPr>
              <w:spacing w:after="0"/>
              <w:jc w:val="center"/>
            </w:pPr>
            <w:r>
              <w:rPr>
                <w:rFonts w:ascii="Segoe UI" w:hAnsi="Segoe UI"/>
                <w:b/>
                <w:color w:val="059669"/>
                <w:sz w:val="22"/>
              </w:rPr>
              <w:t>685 Parliament MPs</w:t>
            </w:r>
          </w:p>
        </w:tc>
        <w:tc>
          <w:tcPr>
            <w:tcW w:type="dxa" w:w="2448"/>
            <w:shd w:fill="F8FAFC" w:val="clear"/>
            <w:tcMar>
              <w:top w:w="100" w:type="dxa"/>
              <w:bottom w:w="60" w:type="dxa"/>
              <w:left w:w="80" w:type="dxa"/>
              <w:right w:w="80" w:type="dxa"/>
            </w:tcMar>
          </w:tcPr>
          <w:p>
            <w:pPr>
              <w:spacing w:after="0"/>
              <w:jc w:val="center"/>
            </w:pPr>
            <w:r>
              <w:rPr>
                <w:rFonts w:ascii="Segoe UI" w:hAnsi="Segoe UI"/>
                <w:b/>
                <w:color w:val="D97706"/>
                <w:sz w:val="22"/>
              </w:rPr>
              <w:t>0 TS Errors</w:t>
            </w:r>
          </w:p>
        </w:tc>
        <w:tc>
          <w:tcPr>
            <w:tcW w:type="dxa" w:w="2448"/>
            <w:shd w:fill="F8FAFC" w:val="clear"/>
            <w:tcMar>
              <w:top w:w="100" w:type="dxa"/>
              <w:bottom w:w="60" w:type="dxa"/>
              <w:left w:w="80" w:type="dxa"/>
              <w:right w:w="80" w:type="dxa"/>
            </w:tcMar>
          </w:tcPr>
          <w:p>
            <w:pPr>
              <w:spacing w:after="0"/>
              <w:jc w:val="center"/>
            </w:pPr>
            <w:r>
              <w:rPr>
                <w:rFonts w:ascii="Segoe UI" w:hAnsi="Segoe UI"/>
                <w:b/>
                <w:color w:val="7C3AED"/>
                <w:sz w:val="22"/>
              </w:rPr>
              <w:t>₹201 Cr 5-Yr TAM</w:t>
            </w:r>
          </w:p>
        </w:tc>
      </w:tr>
      <w:tr>
        <w:tc>
          <w:tcPr>
            <w:tcW w:type="dxa" w:w="2448"/>
            <w:shd w:fill="F8FAFC" w:val="clear"/>
            <w:tcMar>
              <w:top w:w="0" w:type="dxa"/>
              <w:bottom w:w="100" w:type="dxa"/>
              <w:left w:w="80" w:type="dxa"/>
              <w:right w:w="80" w:type="dxa"/>
            </w:tcMar>
          </w:tcPr>
          <w:p>
            <w:pPr>
              <w:spacing w:after="0"/>
              <w:jc w:val="center"/>
            </w:pPr>
            <w:r>
              <w:rPr>
                <w:rFonts w:ascii="Segoe UI" w:hAnsi="Segoe UI"/>
                <w:color w:val="64748B"/>
                <w:sz w:val="16"/>
              </w:rPr>
              <w:t>Vector Polygons (3,766+ ACs)</w:t>
            </w:r>
          </w:p>
        </w:tc>
        <w:tc>
          <w:tcPr>
            <w:tcW w:type="dxa" w:w="2448"/>
            <w:shd w:fill="F8FAFC" w:val="clear"/>
            <w:tcMar>
              <w:top w:w="0" w:type="dxa"/>
              <w:bottom w:w="100" w:type="dxa"/>
              <w:left w:w="80" w:type="dxa"/>
              <w:right w:w="80" w:type="dxa"/>
            </w:tcMar>
          </w:tcPr>
          <w:p>
            <w:pPr>
              <w:spacing w:after="0"/>
              <w:jc w:val="center"/>
            </w:pPr>
            <w:r>
              <w:rPr>
                <w:rFonts w:ascii="Segoe UI" w:hAnsi="Segoe UI"/>
                <w:color w:val="64748B"/>
                <w:sz w:val="16"/>
              </w:rPr>
              <w:t>100% Lok Sabha (543) Seeded</w:t>
            </w:r>
          </w:p>
        </w:tc>
        <w:tc>
          <w:tcPr>
            <w:tcW w:type="dxa" w:w="2448"/>
            <w:shd w:fill="F8FAFC" w:val="clear"/>
            <w:tcMar>
              <w:top w:w="0" w:type="dxa"/>
              <w:bottom w:w="100" w:type="dxa"/>
              <w:left w:w="80" w:type="dxa"/>
              <w:right w:w="80" w:type="dxa"/>
            </w:tcMar>
          </w:tcPr>
          <w:p>
            <w:pPr>
              <w:spacing w:after="0"/>
              <w:jc w:val="center"/>
            </w:pPr>
            <w:r>
              <w:rPr>
                <w:rFonts w:ascii="Segoe UI" w:hAnsi="Segoe UI"/>
                <w:color w:val="64748B"/>
                <w:sz w:val="16"/>
              </w:rPr>
              <w:t>100% Clean Monorepo Build</w:t>
            </w:r>
          </w:p>
        </w:tc>
        <w:tc>
          <w:tcPr>
            <w:tcW w:type="dxa" w:w="2448"/>
            <w:shd w:fill="F8FAFC" w:val="clear"/>
            <w:tcMar>
              <w:top w:w="0" w:type="dxa"/>
              <w:bottom w:w="100" w:type="dxa"/>
              <w:left w:w="80" w:type="dxa"/>
              <w:right w:w="80" w:type="dxa"/>
            </w:tcMar>
          </w:tcPr>
          <w:p>
            <w:pPr>
              <w:spacing w:after="0"/>
              <w:jc w:val="center"/>
            </w:pPr>
            <w:r>
              <w:rPr>
                <w:rFonts w:ascii="Segoe UI" w:hAnsi="Segoe UI"/>
                <w:color w:val="64748B"/>
                <w:sz w:val="16"/>
              </w:rPr>
              <w:t>12 Streams Across 3 Engines</w:t>
            </w:r>
          </w:p>
        </w:tc>
      </w:tr>
    </w:tbl>
    <w:p>
      <w:pPr>
        <w:spacing w:after="200" w:before="0" w:line="276" w:lineRule="auto"/>
        <w:jc w:val="left"/>
      </w:pPr>
    </w:p>
    <w:p>
      <w:pPr>
        <w:keepNext/>
        <w:spacing w:before="320" w:after="120"/>
      </w:pPr>
      <w:r>
        <w:rPr>
          <w:rFonts w:ascii="Segoe UI" w:hAnsi="Segoe UI"/>
          <w:b/>
          <w:color w:val="1E3A8A"/>
          <w:sz w:val="30"/>
        </w:rPr>
        <w:t>1. Executive Summary &amp; The Macro Thesis</w:t>
      </w:r>
    </w:p>
    <w:p>
      <w:pPr>
        <w:spacing w:after="120" w:before="0" w:line="276" w:lineRule="auto"/>
        <w:jc w:val="left"/>
      </w:pPr>
      <w:r>
        <w:rPr>
          <w:rFonts w:ascii="Segoe UI" w:hAnsi="Segoe UI"/>
          <w:b w:val="0"/>
          <w:i w:val="0"/>
          <w:color w:val="1E293B"/>
          <w:sz w:val="21"/>
        </w:rPr>
        <w:t>Kshetra (क्षेत्र) is India's first unified, spatial-first Political Operating System and Civic Intelligence Platform. It organizes India's notoriously fragmented, noisy, and chaotic democratic ecosystem into high-resolution, actionable intelligence for three key stakeholder groups: 900M+ citizens, newsroom media networks, and political campaign organizations.</w:t>
      </w:r>
    </w:p>
    <w:p>
      <w:pPr>
        <w:spacing w:after="120" w:before="0" w:line="276" w:lineRule="auto"/>
        <w:jc w:val="left"/>
      </w:pPr>
      <w:r>
        <w:rPr>
          <w:rFonts w:ascii="Segoe UI" w:hAnsi="Segoe UI"/>
          <w:b w:val="0"/>
          <w:i w:val="0"/>
          <w:color w:val="1E293B"/>
          <w:sz w:val="21"/>
        </w:rPr>
        <w:t>The platform combines interactive multi-polygon vector mapping, comprehensive legislator financial and criminal background profiling, hyperlocal booth-to-state administrative aggregation, and an AI-driven Delimitation Simulator.</w:t>
      </w:r>
    </w:p>
    <w:tbl>
      <w:tblPr>
        <w:tblW w:type="auto" w:w="0"/>
        <w:jc w:val="center"/>
        <w:tblLayout w:type="fixed"/>
        <w:tblLook w:firstColumn="1" w:firstRow="1" w:lastColumn="0" w:lastRow="0" w:noHBand="0" w:noVBand="1" w:val="04A0"/>
      </w:tblPr>
      <w:tblGrid>
        <w:gridCol w:w="9972"/>
      </w:tblGrid>
      <w:tr>
        <w:tc>
          <w:tcPr>
            <w:tcW w:type="dxa" w:w="9792"/>
            <w:shd w:fill="FFFBEB" w:val="clear"/>
            <w:tcMar>
              <w:top w:w="140" w:type="dxa"/>
              <w:bottom w:w="140" w:type="dxa"/>
              <w:left w:w="200" w:type="dxa"/>
              <w:right w:w="180" w:type="dxa"/>
            </w:tcMar>
            <w:tcBorders>
              <w:left w:val="single" w:sz="24" w:space="0" w:color="D97706"/>
              <w:top w:val="none"/>
              <w:right w:val="none"/>
              <w:bottom w:val="none"/>
            </w:tcBorders>
          </w:tcPr>
          <w:p>
            <w:pPr>
              <w:spacing w:before="0" w:after="80"/>
            </w:pPr>
            <w:r>
              <w:rPr>
                <w:rFonts w:ascii="Segoe UI" w:hAnsi="Segoe UI"/>
                <w:b/>
                <w:color w:val="D97706"/>
                <w:sz w:val="20"/>
              </w:rPr>
              <w:t>⚡ THE MULTI-BILLION DOLLAR TRANSITION CATALYST</w:t>
            </w:r>
          </w:p>
          <w:p>
            <w:pPr>
              <w:spacing w:before="40" w:after="80"/>
            </w:pPr>
            <w:r>
              <w:rPr>
                <w:rFonts w:ascii="Segoe UI" w:hAnsi="Segoe UI"/>
                <w:b/>
                <w:color w:val="1E3A8A"/>
                <w:sz w:val="19"/>
              </w:rPr>
              <w:t xml:space="preserve">The Delimitation 2026 Disruption: </w:t>
            </w:r>
            <w:r>
              <w:rPr>
                <w:rFonts w:ascii="Segoe UI" w:hAnsi="Segoe UI"/>
                <w:b w:val="0"/>
                <w:color w:val="1E293B"/>
                <w:sz w:val="19"/>
              </w:rPr>
              <w:t xml:space="preserve">India is approaching its first constitutional redrawing of parliamentary and assembly constituency boundaries in over 50 years. </w:t>
            </w:r>
            <w:r>
              <w:rPr>
                <w:rFonts w:ascii="Segoe UI" w:hAnsi="Segoe UI"/>
                <w:b/>
                <w:color w:val="1E293B"/>
                <w:sz w:val="19"/>
              </w:rPr>
              <w:t xml:space="preserve">Post-Census Delimitation will create ~2,500+ redrawn or brand-new constituencies. </w:t>
            </w:r>
            <w:r>
              <w:rPr>
                <w:rFonts w:ascii="Segoe UI" w:hAnsi="Segoe UI"/>
                <w:b w:val="0"/>
                <w:color w:val="1E293B"/>
                <w:sz w:val="19"/>
              </w:rPr>
              <w:t xml:space="preserve">Overnight, every legacy spreadsheet, static PDF map, and incumbent political intuition will become obsolete. </w:t>
            </w:r>
            <w:r>
              <w:rPr>
                <w:rFonts w:ascii="Segoe UI" w:hAnsi="Segoe UI"/>
                <w:b w:val="0"/>
                <w:color w:val="1E293B"/>
                <w:sz w:val="19"/>
              </w:rPr>
              <w:t>Kshetra is architected specifically as the transition mapping layer, bridging pre- and post-delimitation political geography with population-weighted predictive simulation.</w:t>
            </w:r>
          </w:p>
        </w:tc>
      </w:tr>
    </w:tbl>
    <w:p>
      <w:pPr>
        <w:spacing w:before="0" w:after="80"/>
      </w:pPr>
    </w:p>
    <w:p>
      <w:pPr>
        <w:keepNext/>
        <w:spacing w:before="320" w:after="120"/>
      </w:pPr>
      <w:r>
        <w:rPr>
          <w:rFonts w:ascii="Segoe UI" w:hAnsi="Segoe UI"/>
          <w:b/>
          <w:color w:val="1E3A8A"/>
          <w:sz w:val="30"/>
        </w:rPr>
        <w:t>2. What Kshetra Actually Is: Three Interlocking Product Engines</w:t>
      </w:r>
    </w:p>
    <w:p>
      <w:pPr>
        <w:spacing w:after="120" w:before="0" w:line="276" w:lineRule="auto"/>
        <w:jc w:val="left"/>
      </w:pPr>
      <w:r>
        <w:rPr>
          <w:rFonts w:ascii="Segoe UI" w:hAnsi="Segoe UI"/>
          <w:b w:val="0"/>
          <w:i w:val="0"/>
          <w:color w:val="1E293B"/>
          <w:sz w:val="21"/>
        </w:rPr>
        <w:t>Kshetra is not a mere static civic directory or scraping script. It is an end-to-end multi-tiered software ecosystem consisting of three deeply integrated product engines:</w:t>
      </w:r>
    </w:p>
    <w:p>
      <w:pPr>
        <w:keepNext/>
        <w:spacing w:before="240" w:after="80"/>
      </w:pPr>
      <w:r>
        <w:rPr>
          <w:rFonts w:ascii="Segoe UI" w:hAnsi="Segoe UI"/>
          <w:b/>
          <w:color w:val="2563EB"/>
          <w:sz w:val="25"/>
        </w:rPr>
        <w:t>Engine 1: Citizen Civic &amp; Transparency Layer (B2C / Public Good)</w:t>
      </w:r>
    </w:p>
    <w:p>
      <w:pPr>
        <w:spacing w:after="120" w:before="0" w:line="276" w:lineRule="auto"/>
        <w:jc w:val="left"/>
      </w:pPr>
      <w:r>
        <w:rPr>
          <w:rFonts w:ascii="Segoe UI" w:hAnsi="Segoe UI"/>
          <w:b w:val="0"/>
          <w:i w:val="0"/>
          <w:color w:val="1E293B"/>
          <w:sz w:val="21"/>
        </w:rPr>
        <w:t>Designed as a frictionless, highly engaging mobile experience providing radical transparency at zero cost to citizens:</w:t>
      </w:r>
    </w:p>
    <w:p>
      <w:pPr>
        <w:pStyle w:val="ListBullet"/>
        <w:spacing w:before="0" w:after="60" w:line="276" w:lineRule="auto"/>
      </w:pPr>
      <w:r>
        <w:rPr>
          <w:rFonts w:ascii="Segoe UI" w:hAnsi="Segoe UI"/>
          <w:b/>
          <w:color w:val="0F172A"/>
          <w:sz w:val="20"/>
        </w:rPr>
        <w:t xml:space="preserve">Interactive Constituency Vector Map: </w:t>
      </w:r>
      <w:r>
        <w:rPr>
          <w:rFonts w:ascii="Segoe UI" w:hAnsi="Segoe UI"/>
          <w:color w:val="1E293B"/>
          <w:sz w:val="20"/>
        </w:rPr>
        <w:t>Renders state, district, assembly, and parliamentary boundaries with 60 FPS fluidity. Tapping any seat displays winners, runner-ups, victory margins, voter turnout, and historical trends (2014-2024).</w:t>
      </w:r>
    </w:p>
    <w:p>
      <w:pPr>
        <w:pStyle w:val="ListBullet"/>
        <w:spacing w:before="0" w:after="60" w:line="276" w:lineRule="auto"/>
      </w:pPr>
      <w:r>
        <w:rPr>
          <w:rFonts w:ascii="Segoe UI" w:hAnsi="Segoe UI"/>
          <w:b/>
          <w:color w:val="0F172A"/>
          <w:sz w:val="20"/>
        </w:rPr>
        <w:t xml:space="preserve">Candidate &amp; Legislator X-Ray: </w:t>
      </w:r>
      <w:r>
        <w:rPr>
          <w:rFonts w:ascii="Segoe UI" w:hAnsi="Segoe UI"/>
          <w:color w:val="1E293B"/>
          <w:sz w:val="20"/>
        </w:rPr>
        <w:t>Zero-empty-field dossiers on sitting MLAs and MPs. Includes verified wealth disclosures, 5-year asset compounding curves, liabilities, criminal cases (IPC sections &amp; charges framed), education, and contact details extracted from official affidavits.</w:t>
      </w:r>
    </w:p>
    <w:p>
      <w:pPr>
        <w:pStyle w:val="ListBullet"/>
        <w:spacing w:before="0" w:after="60" w:line="276" w:lineRule="auto"/>
      </w:pPr>
      <w:r>
        <w:rPr>
          <w:rFonts w:ascii="Segoe UI" w:hAnsi="Segoe UI"/>
          <w:b/>
          <w:color w:val="0F172A"/>
          <w:sz w:val="20"/>
        </w:rPr>
        <w:t xml:space="preserve">Promise Tracker &amp; Citizen Verification: </w:t>
      </w:r>
      <w:r>
        <w:rPr>
          <w:rFonts w:ascii="Segoe UI" w:hAnsi="Segoe UI"/>
          <w:color w:val="1E293B"/>
          <w:sz w:val="20"/>
        </w:rPr>
        <w:t>Monitors manifesto commitments (Delivered, Pending, Broken) with crowd-sourced, geo-tagged photo/video verification from local constituents.</w:t>
      </w:r>
    </w:p>
    <w:p>
      <w:pPr>
        <w:pStyle w:val="ListBullet"/>
        <w:spacing w:before="0" w:after="60" w:line="276" w:lineRule="auto"/>
      </w:pPr>
      <w:r>
        <w:rPr>
          <w:rFonts w:ascii="Segoe UI" w:hAnsi="Segoe UI"/>
          <w:b/>
          <w:color w:val="0F172A"/>
          <w:sz w:val="20"/>
        </w:rPr>
        <w:t xml:space="preserve">Hyperlocal Civic Dashboard: </w:t>
      </w:r>
      <w:r>
        <w:rPr>
          <w:rFonts w:ascii="Segoe UI" w:hAnsi="Segoe UI"/>
          <w:color w:val="1E293B"/>
          <w:sz w:val="20"/>
        </w:rPr>
        <w:t>Allows citizens to log local infrastructure, water, and governance issues. Issues are geo-fenced to exact electoral wards and aggregated into an MLA Responsiveness Scorecard.</w:t>
      </w:r>
    </w:p>
    <w:p>
      <w:pPr>
        <w:keepNext/>
        <w:spacing w:before="240" w:after="80"/>
      </w:pPr>
      <w:r>
        <w:rPr>
          <w:rFonts w:ascii="Segoe UI" w:hAnsi="Segoe UI"/>
          <w:b/>
          <w:color w:val="2563EB"/>
          <w:sz w:val="25"/>
        </w:rPr>
        <w:t>Engine 2: Media &amp; Journalist Intelligence Network (B2B Media / Freemium)</w:t>
      </w:r>
    </w:p>
    <w:p>
      <w:pPr>
        <w:pStyle w:val="ListBullet"/>
        <w:spacing w:before="0" w:after="60" w:line="276" w:lineRule="auto"/>
      </w:pPr>
      <w:r>
        <w:rPr>
          <w:rFonts w:ascii="Segoe UI" w:hAnsi="Segoe UI"/>
          <w:b/>
          <w:color w:val="0F172A"/>
          <w:sz w:val="20"/>
        </w:rPr>
        <w:t xml:space="preserve">Live Media Exchange (LMX): </w:t>
      </w:r>
      <w:r>
        <w:rPr>
          <w:rFonts w:ascii="Segoe UI" w:hAnsi="Segoe UI"/>
          <w:color w:val="1E293B"/>
          <w:sz w:val="20"/>
        </w:rPr>
        <w:t>A decentralized newsroom tool allowing verified grassroots stringers and journalists to file geo-tagged election stories and ground reports.</w:t>
      </w:r>
    </w:p>
    <w:p>
      <w:pPr>
        <w:pStyle w:val="ListBullet"/>
        <w:spacing w:before="0" w:after="60" w:line="276" w:lineRule="auto"/>
      </w:pPr>
      <w:r>
        <w:rPr>
          <w:rFonts w:ascii="Segoe UI" w:hAnsi="Segoe UI"/>
          <w:b/>
          <w:color w:val="0F172A"/>
          <w:sz w:val="20"/>
        </w:rPr>
        <w:t xml:space="preserve">Embeddable Newsroom Widgets: </w:t>
      </w:r>
      <w:r>
        <w:rPr>
          <w:rFonts w:ascii="Segoe UI" w:hAnsi="Segoe UI"/>
          <w:color w:val="1E293B"/>
          <w:sz w:val="20"/>
        </w:rPr>
        <w:t>Modular, responsive web components (Next.js/React) designed for TV broadcast live-screens and digital news portals (NDTV, Eenadu, ABP, India Today) during election nights.</w:t>
      </w:r>
    </w:p>
    <w:p>
      <w:pPr>
        <w:pStyle w:val="ListBullet"/>
        <w:spacing w:before="0" w:after="60" w:line="276" w:lineRule="auto"/>
      </w:pPr>
      <w:r>
        <w:rPr>
          <w:rFonts w:ascii="Segoe UI" w:hAnsi="Segoe UI"/>
          <w:b/>
          <w:color w:val="0F172A"/>
          <w:sz w:val="20"/>
        </w:rPr>
        <w:t xml:space="preserve">Real-Time Political Timelines: </w:t>
      </w:r>
      <w:r>
        <w:rPr>
          <w:rFonts w:ascii="Segoe UI" w:hAnsi="Segoe UI"/>
          <w:color w:val="1E293B"/>
          <w:sz w:val="20"/>
        </w:rPr>
        <w:t>Tracks defections, floor tests, coalition realignments, and by-election notifications with instant push notification dispatches.</w:t>
      </w:r>
    </w:p>
    <w:p>
      <w:pPr>
        <w:keepNext/>
        <w:spacing w:before="240" w:after="80"/>
      </w:pPr>
      <w:r>
        <w:rPr>
          <w:rFonts w:ascii="Segoe UI" w:hAnsi="Segoe UI"/>
          <w:b/>
          <w:color w:val="2563EB"/>
          <w:sz w:val="25"/>
        </w:rPr>
        <w:t>Engine 3: Campaign Operating System &amp; War Room (B2B SaaS)</w:t>
      </w:r>
    </w:p>
    <w:p>
      <w:pPr>
        <w:pStyle w:val="ListBullet"/>
        <w:spacing w:before="0" w:after="60" w:line="276" w:lineRule="auto"/>
      </w:pPr>
      <w:r>
        <w:rPr>
          <w:rFonts w:ascii="Segoe UI" w:hAnsi="Segoe UI"/>
          <w:b/>
          <w:color w:val="0F172A"/>
          <w:sz w:val="20"/>
        </w:rPr>
        <w:t xml:space="preserve">Electoral Vulnerability &amp; Swing Seat Index: </w:t>
      </w:r>
      <w:r>
        <w:rPr>
          <w:rFonts w:ascii="Segoe UI" w:hAnsi="Segoe UI"/>
          <w:color w:val="1E293B"/>
          <w:sz w:val="20"/>
        </w:rPr>
        <w:t>Identifies bellwether seats, marginal constituencies (&lt;5% victory margin), and anti-incumbency risk scores using multi-cycle historical regression.</w:t>
      </w:r>
    </w:p>
    <w:p>
      <w:pPr>
        <w:pStyle w:val="ListBullet"/>
        <w:spacing w:before="0" w:after="60" w:line="276" w:lineRule="auto"/>
      </w:pPr>
      <w:r>
        <w:rPr>
          <w:rFonts w:ascii="Segoe UI" w:hAnsi="Segoe UI"/>
          <w:b/>
          <w:color w:val="0F172A"/>
          <w:sz w:val="20"/>
        </w:rPr>
        <w:t xml:space="preserve">Booth-Level Intelligence Hierarchy: </w:t>
      </w:r>
      <w:r>
        <w:rPr>
          <w:rFonts w:ascii="Segoe UI" w:hAnsi="Segoe UI"/>
          <w:color w:val="1E293B"/>
          <w:sz w:val="20"/>
        </w:rPr>
        <w:t>Hierarchical drilldown mapping State → District → Parliamentary Constituency (PC) → Assembly Constituency (AC) → Mandal/Block → Gram Panchayat (GP) → Polling Booth (~35,600 booths in Telangana alone).</w:t>
      </w:r>
    </w:p>
    <w:p>
      <w:pPr>
        <w:pStyle w:val="ListBullet"/>
        <w:spacing w:before="0" w:after="60" w:line="276" w:lineRule="auto"/>
      </w:pPr>
      <w:r>
        <w:rPr>
          <w:rFonts w:ascii="Segoe UI" w:hAnsi="Segoe UI"/>
          <w:b/>
          <w:color w:val="0F172A"/>
          <w:sz w:val="20"/>
        </w:rPr>
        <w:t xml:space="preserve">Aspirant &amp; Leader Portal: </w:t>
      </w:r>
      <w:r>
        <w:rPr>
          <w:rFonts w:ascii="Segoe UI" w:hAnsi="Segoe UI"/>
          <w:color w:val="1E293B"/>
          <w:sz w:val="20"/>
        </w:rPr>
        <w:t>Empowers prospective candidates to gauge booth-level demographic profiles, historic voter turnout, and community sentiment before launching campaigns.</w:t>
      </w:r>
    </w:p>
    <w:p>
      <w:pPr>
        <w:keepNext/>
        <w:spacing w:before="240" w:after="80"/>
      </w:pPr>
      <w:r>
        <w:rPr>
          <w:rFonts w:ascii="Segoe UI" w:hAnsi="Segoe UI"/>
          <w:b/>
          <w:color w:val="2563EB"/>
          <w:sz w:val="25"/>
        </w:rPr>
        <w:t>The Flagship Innovation: India's First Delimitation Simulator</w:t>
      </w:r>
    </w:p>
    <w:p>
      <w:pPr>
        <w:spacing w:after="120" w:before="0" w:line="276" w:lineRule="auto"/>
        <w:jc w:val="left"/>
      </w:pPr>
      <w:r>
        <w:rPr>
          <w:rFonts w:ascii="Segoe UI" w:hAnsi="Segoe UI"/>
          <w:b w:val="0"/>
          <w:i w:val="0"/>
          <w:color w:val="1E293B"/>
          <w:sz w:val="21"/>
        </w:rPr>
        <w:t>Built into the core routing (`/app/delimitation/simulator.tsx`), this engine applies population-proportional seat redistribution models. Users, journalists, and party leaders can adjust Census growth vectors to visualize projected Lok Sabha and Vidhan Sabha seat changes across all Indian states, including urban cluster seat expansion and SC/ST reservation shifts.</w:t>
      </w:r>
    </w:p>
    <w:p>
      <w:pPr>
        <w:keepNext/>
        <w:spacing w:before="320" w:after="120"/>
      </w:pPr>
      <w:r>
        <w:rPr>
          <w:rFonts w:ascii="Segoe UI" w:hAnsi="Segoe UI"/>
          <w:b/>
          <w:color w:val="1E3A8A"/>
          <w:sz w:val="30"/>
        </w:rPr>
        <w:t>3. Market Relevance &amp; The 'Why Now' Factor</w:t>
      </w:r>
    </w:p>
    <w:p>
      <w:pPr>
        <w:spacing w:after="120" w:before="0" w:line="276" w:lineRule="auto"/>
        <w:jc w:val="left"/>
      </w:pPr>
      <w:r>
        <w:rPr>
          <w:rFonts w:ascii="Segoe UI" w:hAnsi="Segoe UI"/>
          <w:b w:val="0"/>
          <w:i w:val="0"/>
          <w:color w:val="1E293B"/>
          <w:sz w:val="21"/>
        </w:rPr>
        <w:t>India represents the largest electoral democracy on earth, yet its political data infrastructure is archaic, fragmented, and siloed.</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94"/>
        <w:gridCol w:w="1994"/>
        <w:gridCol w:w="1994"/>
        <w:gridCol w:w="1994"/>
        <w:gridCol w:w="1994"/>
      </w:tblGrid>
      <w:tr>
        <w:tc>
          <w:tcPr>
            <w:tcW w:type="dxa" w:w="1994"/>
            <w:shd w:fill="1E3A8A" w:val="clear"/>
            <w:tcMar>
              <w:top w:w="100" w:type="dxa"/>
              <w:bottom w:w="100" w:type="dxa"/>
              <w:left w:w="100" w:type="dxa"/>
              <w:right w:w="100" w:type="dxa"/>
            </w:tcMar>
          </w:tcPr>
          <w:p>
            <w:pPr>
              <w:spacing w:after="0"/>
            </w:pPr>
            <w:r>
              <w:rPr>
                <w:rFonts w:ascii="Segoe UI" w:hAnsi="Segoe UI"/>
                <w:b/>
                <w:color w:val="FFFFFF"/>
                <w:sz w:val="18"/>
              </w:rPr>
              <w:t>Platform / Entity</w:t>
            </w:r>
          </w:p>
        </w:tc>
        <w:tc>
          <w:tcPr>
            <w:tcW w:type="dxa" w:w="1994"/>
            <w:shd w:fill="1E3A8A" w:val="clear"/>
            <w:tcMar>
              <w:top w:w="100" w:type="dxa"/>
              <w:bottom w:w="100" w:type="dxa"/>
              <w:left w:w="100" w:type="dxa"/>
              <w:right w:w="100" w:type="dxa"/>
            </w:tcMar>
          </w:tcPr>
          <w:p>
            <w:pPr>
              <w:spacing w:after="0"/>
            </w:pPr>
            <w:r>
              <w:rPr>
                <w:rFonts w:ascii="Segoe UI" w:hAnsi="Segoe UI"/>
                <w:b/>
                <w:color w:val="FFFFFF"/>
                <w:sz w:val="18"/>
              </w:rPr>
              <w:t>Core Focus</w:t>
            </w:r>
          </w:p>
        </w:tc>
        <w:tc>
          <w:tcPr>
            <w:tcW w:type="dxa" w:w="1994"/>
            <w:shd w:fill="1E3A8A" w:val="clear"/>
            <w:tcMar>
              <w:top w:w="100" w:type="dxa"/>
              <w:bottom w:w="100" w:type="dxa"/>
              <w:left w:w="100" w:type="dxa"/>
              <w:right w:w="100" w:type="dxa"/>
            </w:tcMar>
          </w:tcPr>
          <w:p>
            <w:pPr>
              <w:spacing w:after="0"/>
            </w:pPr>
            <w:r>
              <w:rPr>
                <w:rFonts w:ascii="Segoe UI" w:hAnsi="Segoe UI"/>
                <w:b/>
                <w:color w:val="FFFFFF"/>
                <w:sz w:val="18"/>
              </w:rPr>
              <w:t>Mapping / UX</w:t>
            </w:r>
          </w:p>
        </w:tc>
        <w:tc>
          <w:tcPr>
            <w:tcW w:type="dxa" w:w="1994"/>
            <w:shd w:fill="1E3A8A" w:val="clear"/>
            <w:tcMar>
              <w:top w:w="100" w:type="dxa"/>
              <w:bottom w:w="100" w:type="dxa"/>
              <w:left w:w="100" w:type="dxa"/>
              <w:right w:w="100" w:type="dxa"/>
            </w:tcMar>
          </w:tcPr>
          <w:p>
            <w:pPr>
              <w:spacing w:after="0"/>
            </w:pPr>
            <w:r>
              <w:rPr>
                <w:rFonts w:ascii="Segoe UI" w:hAnsi="Segoe UI"/>
                <w:b/>
                <w:color w:val="FFFFFF"/>
                <w:sz w:val="18"/>
              </w:rPr>
              <w:t>Delimitation</w:t>
            </w:r>
          </w:p>
        </w:tc>
        <w:tc>
          <w:tcPr>
            <w:tcW w:type="dxa" w:w="1994"/>
            <w:shd w:fill="1E3A8A" w:val="clear"/>
            <w:tcMar>
              <w:top w:w="100" w:type="dxa"/>
              <w:bottom w:w="100" w:type="dxa"/>
              <w:left w:w="100" w:type="dxa"/>
              <w:right w:w="100" w:type="dxa"/>
            </w:tcMar>
          </w:tcPr>
          <w:p>
            <w:pPr>
              <w:spacing w:after="0"/>
            </w:pPr>
            <w:r>
              <w:rPr>
                <w:rFonts w:ascii="Segoe UI" w:hAnsi="Segoe UI"/>
                <w:b/>
                <w:color w:val="FFFFFF"/>
                <w:sz w:val="18"/>
              </w:rPr>
              <w:t>Commercial Model</w:t>
            </w:r>
          </w:p>
        </w:tc>
      </w:tr>
      <w:tr>
        <w:tc>
          <w:tcPr>
            <w:tcW w:type="dxa" w:w="1994"/>
            <w:shd w:fill="F8FAFC" w:val="clear"/>
            <w:tcMar>
              <w:top w:w="80" w:type="dxa"/>
              <w:bottom w:w="80" w:type="dxa"/>
              <w:left w:w="100" w:type="dxa"/>
              <w:right w:w="100" w:type="dxa"/>
            </w:tcMar>
          </w:tcPr>
          <w:p>
            <w:pPr>
              <w:spacing w:after="0"/>
            </w:pPr>
            <w:r>
              <w:rPr>
                <w:rFonts w:ascii="Segoe UI" w:hAnsi="Segoe UI"/>
                <w:b/>
                <w:color w:val="0F172A"/>
                <w:sz w:val="17"/>
              </w:rPr>
              <w:t>PRS Legislative</w:t>
            </w:r>
          </w:p>
        </w:tc>
        <w:tc>
          <w:tcPr>
            <w:tcW w:type="dxa" w:w="1994"/>
            <w:shd w:fill="F8FAFC" w:val="clear"/>
            <w:tcMar>
              <w:top w:w="80" w:type="dxa"/>
              <w:bottom w:w="80" w:type="dxa"/>
              <w:left w:w="100" w:type="dxa"/>
              <w:right w:w="100" w:type="dxa"/>
            </w:tcMar>
          </w:tcPr>
          <w:p>
            <w:pPr>
              <w:spacing w:after="0"/>
            </w:pPr>
            <w:r>
              <w:rPr>
                <w:rFonts w:ascii="Segoe UI" w:hAnsi="Segoe UI"/>
                <w:color w:val="1E293B"/>
                <w:sz w:val="17"/>
              </w:rPr>
              <w:t>Parliamentary bills &amp; debates</w:t>
            </w:r>
          </w:p>
        </w:tc>
        <w:tc>
          <w:tcPr>
            <w:tcW w:type="dxa" w:w="1994"/>
            <w:shd w:fill="F8FAFC" w:val="clear"/>
            <w:tcMar>
              <w:top w:w="80" w:type="dxa"/>
              <w:bottom w:w="80" w:type="dxa"/>
              <w:left w:w="100" w:type="dxa"/>
              <w:right w:w="100" w:type="dxa"/>
            </w:tcMar>
          </w:tcPr>
          <w:p>
            <w:pPr>
              <w:spacing w:after="0"/>
            </w:pPr>
            <w:r>
              <w:rPr>
                <w:rFonts w:ascii="Segoe UI" w:hAnsi="Segoe UI"/>
                <w:color w:val="1E293B"/>
                <w:sz w:val="17"/>
              </w:rPr>
              <w:t>Static text / PDFs</w:t>
            </w:r>
          </w:p>
        </w:tc>
        <w:tc>
          <w:tcPr>
            <w:tcW w:type="dxa" w:w="1994"/>
            <w:shd w:fill="F8FAFC" w:val="clear"/>
            <w:tcMar>
              <w:top w:w="80" w:type="dxa"/>
              <w:bottom w:w="80" w:type="dxa"/>
              <w:left w:w="100" w:type="dxa"/>
              <w:right w:w="100" w:type="dxa"/>
            </w:tcMar>
          </w:tcPr>
          <w:p>
            <w:pPr>
              <w:spacing w:after="0"/>
            </w:pPr>
            <w:r>
              <w:rPr>
                <w:rFonts w:ascii="Segoe UI" w:hAnsi="Segoe UI"/>
                <w:color w:val="1E293B"/>
                <w:sz w:val="17"/>
              </w:rPr>
              <w:t>None</w:t>
            </w:r>
          </w:p>
        </w:tc>
        <w:tc>
          <w:tcPr>
            <w:tcW w:type="dxa" w:w="1994"/>
            <w:shd w:fill="F8FAFC" w:val="clear"/>
            <w:tcMar>
              <w:top w:w="80" w:type="dxa"/>
              <w:bottom w:w="80" w:type="dxa"/>
              <w:left w:w="100" w:type="dxa"/>
              <w:right w:w="100" w:type="dxa"/>
            </w:tcMar>
          </w:tcPr>
          <w:p>
            <w:pPr>
              <w:spacing w:after="0"/>
            </w:pPr>
            <w:r>
              <w:rPr>
                <w:rFonts w:ascii="Segoe UI" w:hAnsi="Segoe UI"/>
                <w:color w:val="1E293B"/>
                <w:sz w:val="17"/>
              </w:rPr>
              <w:t>Grant-funded NGO</w:t>
            </w:r>
          </w:p>
        </w:tc>
      </w:tr>
      <w:tr>
        <w:tc>
          <w:tcPr>
            <w:tcW w:type="dxa" w:w="1994"/>
            <w:tcMar>
              <w:top w:w="80" w:type="dxa"/>
              <w:bottom w:w="80" w:type="dxa"/>
              <w:left w:w="100" w:type="dxa"/>
              <w:right w:w="100" w:type="dxa"/>
            </w:tcMar>
          </w:tcPr>
          <w:p>
            <w:pPr>
              <w:spacing w:after="0"/>
            </w:pPr>
            <w:r>
              <w:rPr>
                <w:rFonts w:ascii="Segoe UI" w:hAnsi="Segoe UI"/>
                <w:b/>
                <w:color w:val="0F172A"/>
                <w:sz w:val="17"/>
              </w:rPr>
              <w:t>ADR / MyNeta</w:t>
            </w:r>
          </w:p>
        </w:tc>
        <w:tc>
          <w:tcPr>
            <w:tcW w:type="dxa" w:w="1994"/>
            <w:tcMar>
              <w:top w:w="80" w:type="dxa"/>
              <w:bottom w:w="80" w:type="dxa"/>
              <w:left w:w="100" w:type="dxa"/>
              <w:right w:w="100" w:type="dxa"/>
            </w:tcMar>
          </w:tcPr>
          <w:p>
            <w:pPr>
              <w:spacing w:after="0"/>
            </w:pPr>
            <w:r>
              <w:rPr>
                <w:rFonts w:ascii="Segoe UI" w:hAnsi="Segoe UI"/>
                <w:color w:val="1E293B"/>
                <w:sz w:val="17"/>
              </w:rPr>
              <w:t>Raw candidate affidavits</w:t>
            </w:r>
          </w:p>
        </w:tc>
        <w:tc>
          <w:tcPr>
            <w:tcW w:type="dxa" w:w="1994"/>
            <w:tcMar>
              <w:top w:w="80" w:type="dxa"/>
              <w:bottom w:w="80" w:type="dxa"/>
              <w:left w:w="100" w:type="dxa"/>
              <w:right w:w="100" w:type="dxa"/>
            </w:tcMar>
          </w:tcPr>
          <w:p>
            <w:pPr>
              <w:spacing w:after="0"/>
            </w:pPr>
            <w:r>
              <w:rPr>
                <w:rFonts w:ascii="Segoe UI" w:hAnsi="Segoe UI"/>
                <w:color w:val="1E293B"/>
                <w:sz w:val="17"/>
              </w:rPr>
              <w:t>Dated 2000s Web UI</w:t>
            </w:r>
          </w:p>
        </w:tc>
        <w:tc>
          <w:tcPr>
            <w:tcW w:type="dxa" w:w="1994"/>
            <w:tcMar>
              <w:top w:w="80" w:type="dxa"/>
              <w:bottom w:w="80" w:type="dxa"/>
              <w:left w:w="100" w:type="dxa"/>
              <w:right w:w="100" w:type="dxa"/>
            </w:tcMar>
          </w:tcPr>
          <w:p>
            <w:pPr>
              <w:spacing w:after="0"/>
            </w:pPr>
            <w:r>
              <w:rPr>
                <w:rFonts w:ascii="Segoe UI" w:hAnsi="Segoe UI"/>
                <w:color w:val="1E293B"/>
                <w:sz w:val="17"/>
              </w:rPr>
              <w:t>None</w:t>
            </w:r>
          </w:p>
        </w:tc>
        <w:tc>
          <w:tcPr>
            <w:tcW w:type="dxa" w:w="1994"/>
            <w:tcMar>
              <w:top w:w="80" w:type="dxa"/>
              <w:bottom w:w="80" w:type="dxa"/>
              <w:left w:w="100" w:type="dxa"/>
              <w:right w:w="100" w:type="dxa"/>
            </w:tcMar>
          </w:tcPr>
          <w:p>
            <w:pPr>
              <w:spacing w:after="0"/>
            </w:pPr>
            <w:r>
              <w:rPr>
                <w:rFonts w:ascii="Segoe UI" w:hAnsi="Segoe UI"/>
                <w:color w:val="1E293B"/>
                <w:sz w:val="17"/>
              </w:rPr>
              <w:t>Donor-funded non-profit</w:t>
            </w:r>
          </w:p>
        </w:tc>
      </w:tr>
      <w:tr>
        <w:tc>
          <w:tcPr>
            <w:tcW w:type="dxa" w:w="1994"/>
            <w:shd w:fill="F8FAFC" w:val="clear"/>
            <w:tcMar>
              <w:top w:w="80" w:type="dxa"/>
              <w:bottom w:w="80" w:type="dxa"/>
              <w:left w:w="100" w:type="dxa"/>
              <w:right w:w="100" w:type="dxa"/>
            </w:tcMar>
          </w:tcPr>
          <w:p>
            <w:pPr>
              <w:spacing w:after="0"/>
            </w:pPr>
            <w:r>
              <w:rPr>
                <w:rFonts w:ascii="Segoe UI" w:hAnsi="Segoe UI"/>
                <w:b/>
                <w:color w:val="0F172A"/>
                <w:sz w:val="17"/>
              </w:rPr>
              <w:t>News Networks</w:t>
            </w:r>
          </w:p>
        </w:tc>
        <w:tc>
          <w:tcPr>
            <w:tcW w:type="dxa" w:w="1994"/>
            <w:shd w:fill="F8FAFC" w:val="clear"/>
            <w:tcMar>
              <w:top w:w="80" w:type="dxa"/>
              <w:bottom w:w="80" w:type="dxa"/>
              <w:left w:w="100" w:type="dxa"/>
              <w:right w:w="100" w:type="dxa"/>
            </w:tcMar>
          </w:tcPr>
          <w:p>
            <w:pPr>
              <w:spacing w:after="0"/>
            </w:pPr>
            <w:r>
              <w:rPr>
                <w:rFonts w:ascii="Segoe UI" w:hAnsi="Segoe UI"/>
                <w:color w:val="1E293B"/>
                <w:sz w:val="17"/>
              </w:rPr>
              <w:t>Election night graphics</w:t>
            </w:r>
          </w:p>
        </w:tc>
        <w:tc>
          <w:tcPr>
            <w:tcW w:type="dxa" w:w="1994"/>
            <w:shd w:fill="F8FAFC" w:val="clear"/>
            <w:tcMar>
              <w:top w:w="80" w:type="dxa"/>
              <w:bottom w:w="80" w:type="dxa"/>
              <w:left w:w="100" w:type="dxa"/>
              <w:right w:w="100" w:type="dxa"/>
            </w:tcMar>
          </w:tcPr>
          <w:p>
            <w:pPr>
              <w:spacing w:after="0"/>
            </w:pPr>
            <w:r>
              <w:rPr>
                <w:rFonts w:ascii="Segoe UI" w:hAnsi="Segoe UI"/>
                <w:color w:val="1E293B"/>
                <w:sz w:val="17"/>
              </w:rPr>
              <w:t>Ephemeral TV broadcast</w:t>
            </w:r>
          </w:p>
        </w:tc>
        <w:tc>
          <w:tcPr>
            <w:tcW w:type="dxa" w:w="1994"/>
            <w:shd w:fill="F8FAFC" w:val="clear"/>
            <w:tcMar>
              <w:top w:w="80" w:type="dxa"/>
              <w:bottom w:w="80" w:type="dxa"/>
              <w:left w:w="100" w:type="dxa"/>
              <w:right w:w="100" w:type="dxa"/>
            </w:tcMar>
          </w:tcPr>
          <w:p>
            <w:pPr>
              <w:spacing w:after="0"/>
            </w:pPr>
            <w:r>
              <w:rPr>
                <w:rFonts w:ascii="Segoe UI" w:hAnsi="Segoe UI"/>
                <w:color w:val="1E293B"/>
                <w:sz w:val="17"/>
              </w:rPr>
              <w:t>Editorial only</w:t>
            </w:r>
          </w:p>
        </w:tc>
        <w:tc>
          <w:tcPr>
            <w:tcW w:type="dxa" w:w="1994"/>
            <w:shd w:fill="F8FAFC" w:val="clear"/>
            <w:tcMar>
              <w:top w:w="80" w:type="dxa"/>
              <w:bottom w:w="80" w:type="dxa"/>
              <w:left w:w="100" w:type="dxa"/>
              <w:right w:w="100" w:type="dxa"/>
            </w:tcMar>
          </w:tcPr>
          <w:p>
            <w:pPr>
              <w:spacing w:after="0"/>
            </w:pPr>
            <w:r>
              <w:rPr>
                <w:rFonts w:ascii="Segoe UI" w:hAnsi="Segoe UI"/>
                <w:color w:val="1E293B"/>
                <w:sz w:val="17"/>
              </w:rPr>
              <w:t>Ad-supported broadcast</w:t>
            </w:r>
          </w:p>
        </w:tc>
      </w:tr>
      <w:tr>
        <w:tc>
          <w:tcPr>
            <w:tcW w:type="dxa" w:w="1994"/>
            <w:tcMar>
              <w:top w:w="80" w:type="dxa"/>
              <w:bottom w:w="80" w:type="dxa"/>
              <w:left w:w="100" w:type="dxa"/>
              <w:right w:w="100" w:type="dxa"/>
            </w:tcMar>
          </w:tcPr>
          <w:p>
            <w:pPr>
              <w:spacing w:after="0"/>
            </w:pPr>
            <w:r>
              <w:rPr>
                <w:rFonts w:ascii="Segoe UI" w:hAnsi="Segoe UI"/>
                <w:b/>
                <w:color w:val="0F172A"/>
                <w:sz w:val="17"/>
              </w:rPr>
              <w:t>IPAC / Consultancies</w:t>
            </w:r>
          </w:p>
        </w:tc>
        <w:tc>
          <w:tcPr>
            <w:tcW w:type="dxa" w:w="1994"/>
            <w:tcMar>
              <w:top w:w="80" w:type="dxa"/>
              <w:bottom w:w="80" w:type="dxa"/>
              <w:left w:w="100" w:type="dxa"/>
              <w:right w:w="100" w:type="dxa"/>
            </w:tcMar>
          </w:tcPr>
          <w:p>
            <w:pPr>
              <w:spacing w:after="0"/>
            </w:pPr>
            <w:r>
              <w:rPr>
                <w:rFonts w:ascii="Segoe UI" w:hAnsi="Segoe UI"/>
                <w:color w:val="1E293B"/>
                <w:sz w:val="17"/>
              </w:rPr>
              <w:t>Bespoke campaign execution</w:t>
            </w:r>
          </w:p>
        </w:tc>
        <w:tc>
          <w:tcPr>
            <w:tcW w:type="dxa" w:w="1994"/>
            <w:tcMar>
              <w:top w:w="80" w:type="dxa"/>
              <w:bottom w:w="80" w:type="dxa"/>
              <w:left w:w="100" w:type="dxa"/>
              <w:right w:w="100" w:type="dxa"/>
            </w:tcMar>
          </w:tcPr>
          <w:p>
            <w:pPr>
              <w:spacing w:after="0"/>
            </w:pPr>
            <w:r>
              <w:rPr>
                <w:rFonts w:ascii="Segoe UI" w:hAnsi="Segoe UI"/>
                <w:color w:val="1E293B"/>
                <w:sz w:val="17"/>
              </w:rPr>
              <w:t>Private agency tooling</w:t>
            </w:r>
          </w:p>
        </w:tc>
        <w:tc>
          <w:tcPr>
            <w:tcW w:type="dxa" w:w="1994"/>
            <w:tcMar>
              <w:top w:w="80" w:type="dxa"/>
              <w:bottom w:w="80" w:type="dxa"/>
              <w:left w:w="100" w:type="dxa"/>
              <w:right w:w="100" w:type="dxa"/>
            </w:tcMar>
          </w:tcPr>
          <w:p>
            <w:pPr>
              <w:spacing w:after="0"/>
            </w:pPr>
            <w:r>
              <w:rPr>
                <w:rFonts w:ascii="Segoe UI" w:hAnsi="Segoe UI"/>
                <w:color w:val="1E293B"/>
                <w:sz w:val="17"/>
              </w:rPr>
              <w:t>Manual reports</w:t>
            </w:r>
          </w:p>
        </w:tc>
        <w:tc>
          <w:tcPr>
            <w:tcW w:type="dxa" w:w="1994"/>
            <w:tcMar>
              <w:top w:w="80" w:type="dxa"/>
              <w:bottom w:w="80" w:type="dxa"/>
              <w:left w:w="100" w:type="dxa"/>
              <w:right w:w="100" w:type="dxa"/>
            </w:tcMar>
          </w:tcPr>
          <w:p>
            <w:pPr>
              <w:spacing w:after="0"/>
            </w:pPr>
            <w:r>
              <w:rPr>
                <w:rFonts w:ascii="Segoe UI" w:hAnsi="Segoe UI"/>
                <w:color w:val="1E293B"/>
                <w:sz w:val="17"/>
              </w:rPr>
              <w:t>₹50-100 Cr / campaign</w:t>
            </w:r>
          </w:p>
        </w:tc>
      </w:tr>
      <w:tr>
        <w:tc>
          <w:tcPr>
            <w:tcW w:type="dxa" w:w="1994"/>
            <w:shd w:fill="F8FAFC" w:val="clear"/>
            <w:tcMar>
              <w:top w:w="80" w:type="dxa"/>
              <w:bottom w:w="80" w:type="dxa"/>
              <w:left w:w="100" w:type="dxa"/>
              <w:right w:w="100" w:type="dxa"/>
            </w:tcMar>
          </w:tcPr>
          <w:p>
            <w:pPr>
              <w:spacing w:after="0"/>
            </w:pPr>
            <w:r>
              <w:rPr>
                <w:rFonts w:ascii="Segoe UI" w:hAnsi="Segoe UI"/>
                <w:b/>
                <w:color w:val="2563EB"/>
                <w:sz w:val="17"/>
              </w:rPr>
              <w:t>KSHETRA (This)</w:t>
            </w:r>
          </w:p>
        </w:tc>
        <w:tc>
          <w:tcPr>
            <w:tcW w:type="dxa" w:w="1994"/>
            <w:shd w:fill="F8FAFC" w:val="clear"/>
            <w:tcMar>
              <w:top w:w="80" w:type="dxa"/>
              <w:bottom w:w="80" w:type="dxa"/>
              <w:left w:w="100" w:type="dxa"/>
              <w:right w:w="100" w:type="dxa"/>
            </w:tcMar>
          </w:tcPr>
          <w:p>
            <w:pPr>
              <w:spacing w:after="0"/>
            </w:pPr>
            <w:r>
              <w:rPr>
                <w:rFonts w:ascii="Segoe UI" w:hAnsi="Segoe UI"/>
                <w:color w:val="1E293B"/>
                <w:sz w:val="17"/>
              </w:rPr>
              <w:t>Unified Political Intelligence OS</w:t>
            </w:r>
          </w:p>
        </w:tc>
        <w:tc>
          <w:tcPr>
            <w:tcW w:type="dxa" w:w="1994"/>
            <w:shd w:fill="F8FAFC" w:val="clear"/>
            <w:tcMar>
              <w:top w:w="80" w:type="dxa"/>
              <w:bottom w:w="80" w:type="dxa"/>
              <w:left w:w="100" w:type="dxa"/>
              <w:right w:w="100" w:type="dxa"/>
            </w:tcMar>
          </w:tcPr>
          <w:p>
            <w:pPr>
              <w:spacing w:after="0"/>
            </w:pPr>
            <w:r>
              <w:rPr>
                <w:rFonts w:ascii="Segoe UI" w:hAnsi="Segoe UI"/>
                <w:color w:val="1E293B"/>
                <w:sz w:val="17"/>
              </w:rPr>
              <w:t>60 FPS Vector Maps + AI</w:t>
            </w:r>
          </w:p>
        </w:tc>
        <w:tc>
          <w:tcPr>
            <w:tcW w:type="dxa" w:w="1994"/>
            <w:shd w:fill="F8FAFC" w:val="clear"/>
            <w:tcMar>
              <w:top w:w="80" w:type="dxa"/>
              <w:bottom w:w="80" w:type="dxa"/>
              <w:left w:w="100" w:type="dxa"/>
              <w:right w:w="100" w:type="dxa"/>
            </w:tcMar>
          </w:tcPr>
          <w:p>
            <w:pPr>
              <w:spacing w:after="0"/>
            </w:pPr>
            <w:r>
              <w:rPr>
                <w:rFonts w:ascii="Segoe UI" w:hAnsi="Segoe UI"/>
                <w:color w:val="1E293B"/>
                <w:sz w:val="17"/>
              </w:rPr>
              <w:t>Interactive Simulator</w:t>
            </w:r>
          </w:p>
        </w:tc>
        <w:tc>
          <w:tcPr>
            <w:tcW w:type="dxa" w:w="1994"/>
            <w:shd w:fill="F8FAFC" w:val="clear"/>
            <w:tcMar>
              <w:top w:w="80" w:type="dxa"/>
              <w:bottom w:w="80" w:type="dxa"/>
              <w:left w:w="100" w:type="dxa"/>
              <w:right w:w="100" w:type="dxa"/>
            </w:tcMar>
          </w:tcPr>
          <w:p>
            <w:pPr>
              <w:spacing w:after="0"/>
            </w:pPr>
            <w:r>
              <w:rPr>
                <w:rFonts w:ascii="Segoe UI" w:hAnsi="Segoe UI"/>
                <w:color w:val="1E293B"/>
                <w:sz w:val="17"/>
              </w:rPr>
              <w:t>B2B SaaS + Media + B2C</w:t>
            </w:r>
          </w:p>
        </w:tc>
      </w:tr>
    </w:tbl>
    <w:p>
      <w:pPr>
        <w:spacing w:after="120" w:before="0" w:line="276" w:lineRule="auto"/>
        <w:jc w:val="left"/>
      </w:pPr>
    </w:p>
    <w:p>
      <w:pPr>
        <w:keepNext/>
        <w:spacing w:before="240" w:after="80"/>
      </w:pPr>
      <w:r>
        <w:rPr>
          <w:rFonts w:ascii="Segoe UI" w:hAnsi="Segoe UI"/>
          <w:b/>
          <w:color w:val="2563EB"/>
          <w:sz w:val="25"/>
        </w:rPr>
        <w:t>Key Market Catalysts Driving Unprecedented Demand:</w:t>
      </w:r>
    </w:p>
    <w:p>
      <w:pPr>
        <w:pStyle w:val="ListBullet"/>
        <w:spacing w:before="0" w:after="60" w:line="276" w:lineRule="auto"/>
      </w:pPr>
      <w:r>
        <w:rPr>
          <w:rFonts w:ascii="Segoe UI" w:hAnsi="Segoe UI"/>
          <w:b/>
          <w:color w:val="0F172A"/>
          <w:sz w:val="20"/>
        </w:rPr>
        <w:t xml:space="preserve">The 2026-2030 Electoral Super-Cycle: </w:t>
      </w:r>
      <w:r>
        <w:rPr>
          <w:rFonts w:ascii="Segoe UI" w:hAnsi="Segoe UI"/>
          <w:color w:val="1E293B"/>
          <w:sz w:val="20"/>
        </w:rPr>
        <w:t>Continuous state assembly elections every 6 months leading up to the 2029 Lok Sabha General Election and the active Delimitation Commission rollout.</w:t>
      </w:r>
    </w:p>
    <w:p>
      <w:pPr>
        <w:pStyle w:val="ListBullet"/>
        <w:spacing w:before="0" w:after="60" w:line="276" w:lineRule="auto"/>
      </w:pPr>
      <w:r>
        <w:rPr>
          <w:rFonts w:ascii="Segoe UI" w:hAnsi="Segoe UI"/>
          <w:b/>
          <w:color w:val="0F172A"/>
          <w:sz w:val="20"/>
        </w:rPr>
        <w:t xml:space="preserve">Surge in Digital Campaign Spend: </w:t>
      </w:r>
      <w:r>
        <w:rPr>
          <w:rFonts w:ascii="Segoe UI" w:hAnsi="Segoe UI"/>
          <w:color w:val="1E293B"/>
          <w:sz w:val="20"/>
        </w:rPr>
        <w:t>Indian political digital advertising spend exceeds ₹10,000–15,000 Crore per election cycle, rapidly shifting from blunt billboards to micro-targeted constituency-level feeds.</w:t>
      </w:r>
    </w:p>
    <w:p>
      <w:pPr>
        <w:pStyle w:val="ListBullet"/>
        <w:spacing w:before="0" w:after="60" w:line="276" w:lineRule="auto"/>
      </w:pPr>
      <w:r>
        <w:rPr>
          <w:rFonts w:ascii="Segoe UI" w:hAnsi="Segoe UI"/>
          <w:b/>
          <w:color w:val="0F172A"/>
          <w:sz w:val="20"/>
        </w:rPr>
        <w:t xml:space="preserve">Shift to Algorithmic Ground Operations: </w:t>
      </w:r>
      <w:r>
        <w:rPr>
          <w:rFonts w:ascii="Segoe UI" w:hAnsi="Segoe UI"/>
          <w:color w:val="1E293B"/>
          <w:sz w:val="20"/>
        </w:rPr>
        <w:t>Elections in India are no longer won purely on intuition; candidate selection, alliance negotiations, and voter outreach now demand rigorous demographic and swing-seat data.</w:t>
      </w:r>
    </w:p>
    <w:p>
      <w:pPr>
        <w:keepNext/>
        <w:spacing w:before="320" w:after="120"/>
      </w:pPr>
      <w:r>
        <w:rPr>
          <w:rFonts w:ascii="Segoe UI" w:hAnsi="Segoe UI"/>
          <w:b/>
          <w:color w:val="1E3A8A"/>
          <w:sz w:val="30"/>
        </w:rPr>
        <w:t>4. Technical Architecture &amp; Engineering Positives (For Software Engineers)</w:t>
      </w:r>
    </w:p>
    <w:p>
      <w:pPr>
        <w:spacing w:after="120" w:before="0" w:line="276" w:lineRule="auto"/>
        <w:jc w:val="left"/>
      </w:pPr>
      <w:r>
        <w:rPr>
          <w:rFonts w:ascii="Segoe UI" w:hAnsi="Segoe UI"/>
          <w:b w:val="0"/>
          <w:i w:val="0"/>
          <w:color w:val="1E293B"/>
          <w:sz w:val="21"/>
        </w:rPr>
        <w:t>From an engineering standpoint, Kshetra has been engineered with strict architectural discipline, high performance, and long-term scalability. Below is the complete architectural blueprint across the stack:</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24"/>
        <w:gridCol w:w="3324"/>
        <w:gridCol w:w="3324"/>
      </w:tblGrid>
      <w:tr>
        <w:tc>
          <w:tcPr>
            <w:tcW w:type="dxa" w:w="3324"/>
            <w:shd w:fill="0F172A" w:val="clear"/>
            <w:tcMar>
              <w:top w:w="100" w:type="dxa"/>
              <w:bottom w:w="100" w:type="dxa"/>
              <w:left w:w="100" w:type="dxa"/>
              <w:right w:w="100" w:type="dxa"/>
            </w:tcMar>
          </w:tcPr>
          <w:p>
            <w:pPr>
              <w:spacing w:after="0"/>
            </w:pPr>
            <w:r>
              <w:rPr>
                <w:rFonts w:ascii="Segoe UI" w:hAnsi="Segoe UI"/>
                <w:b/>
                <w:color w:val="FFFFFF"/>
                <w:sz w:val="18"/>
              </w:rPr>
              <w:t>Layer / Subsystem</w:t>
            </w:r>
          </w:p>
        </w:tc>
        <w:tc>
          <w:tcPr>
            <w:tcW w:type="dxa" w:w="3324"/>
            <w:shd w:fill="0F172A" w:val="clear"/>
            <w:tcMar>
              <w:top w:w="100" w:type="dxa"/>
              <w:bottom w:w="100" w:type="dxa"/>
              <w:left w:w="100" w:type="dxa"/>
              <w:right w:w="100" w:type="dxa"/>
            </w:tcMar>
          </w:tcPr>
          <w:p>
            <w:pPr>
              <w:spacing w:after="0"/>
            </w:pPr>
            <w:r>
              <w:rPr>
                <w:rFonts w:ascii="Segoe UI" w:hAnsi="Segoe UI"/>
                <w:b/>
                <w:color w:val="FFFFFF"/>
                <w:sz w:val="18"/>
              </w:rPr>
              <w:t>Technology Stack</w:t>
            </w:r>
          </w:p>
        </w:tc>
        <w:tc>
          <w:tcPr>
            <w:tcW w:type="dxa" w:w="3324"/>
            <w:shd w:fill="0F172A" w:val="clear"/>
            <w:tcMar>
              <w:top w:w="100" w:type="dxa"/>
              <w:bottom w:w="100" w:type="dxa"/>
              <w:left w:w="100" w:type="dxa"/>
              <w:right w:w="100" w:type="dxa"/>
            </w:tcMar>
          </w:tcPr>
          <w:p>
            <w:pPr>
              <w:spacing w:after="0"/>
            </w:pPr>
            <w:r>
              <w:rPr>
                <w:rFonts w:ascii="Segoe UI" w:hAnsi="Segoe UI"/>
                <w:b/>
                <w:color w:val="FFFFFF"/>
                <w:sz w:val="18"/>
              </w:rPr>
              <w:t>Engineering Rationale &amp; Defensibility</w:t>
            </w:r>
          </w:p>
        </w:tc>
      </w:tr>
      <w:tr>
        <w:tc>
          <w:tcPr>
            <w:tcW w:type="dxa" w:w="2160"/>
            <w:shd w:fill="F8FAFC" w:val="clear"/>
            <w:tcMar>
              <w:top w:w="80" w:type="dxa"/>
              <w:bottom w:w="80" w:type="dxa"/>
              <w:left w:w="80" w:type="dxa"/>
              <w:right w:w="80" w:type="dxa"/>
            </w:tcMar>
          </w:tcPr>
          <w:p>
            <w:pPr>
              <w:spacing w:after="0"/>
            </w:pPr>
            <w:r>
              <w:rPr>
                <w:rFonts w:ascii="Segoe UI" w:hAnsi="Segoe UI"/>
                <w:b/>
                <w:color w:val="1E3A8A"/>
                <w:sz w:val="17"/>
              </w:rPr>
              <w:t>Mobile Client</w:t>
            </w:r>
          </w:p>
        </w:tc>
        <w:tc>
          <w:tcPr>
            <w:tcW w:type="dxa" w:w="3168"/>
            <w:shd w:fill="F8FAFC" w:val="clear"/>
            <w:tcMar>
              <w:top w:w="80" w:type="dxa"/>
              <w:bottom w:w="80" w:type="dxa"/>
              <w:left w:w="80" w:type="dxa"/>
              <w:right w:w="80" w:type="dxa"/>
            </w:tcMar>
          </w:tcPr>
          <w:p>
            <w:pPr>
              <w:spacing w:after="0"/>
            </w:pPr>
            <w:r>
              <w:rPr>
                <w:rFonts w:ascii="Segoe UI" w:hAnsi="Segoe UI"/>
                <w:color w:val="2563EB"/>
                <w:sz w:val="17"/>
              </w:rPr>
              <w:t>React Native 0.81, Expo SDK 54, React 19, TypeScript</w:t>
            </w:r>
          </w:p>
        </w:tc>
        <w:tc>
          <w:tcPr>
            <w:tcW w:type="dxa" w:w="4464"/>
            <w:shd w:fill="F8FAFC" w:val="clear"/>
            <w:tcMar>
              <w:top w:w="80" w:type="dxa"/>
              <w:bottom w:w="80" w:type="dxa"/>
              <w:left w:w="80" w:type="dxa"/>
              <w:right w:w="80" w:type="dxa"/>
            </w:tcMar>
          </w:tcPr>
          <w:p>
            <w:pPr>
              <w:spacing w:after="0"/>
            </w:pPr>
            <w:r>
              <w:rPr>
                <w:rFonts w:ascii="Segoe UI" w:hAnsi="Segoe UI"/>
                <w:color w:val="1E293B"/>
                <w:sz w:val="17"/>
              </w:rPr>
              <w:t>Single unified cross-platform codebase. File-system routing with Expo Router 6. Native gestures, haptics, and bottom-sheet UI.</w:t>
            </w:r>
          </w:p>
        </w:tc>
      </w:tr>
      <w:tr>
        <w:tc>
          <w:tcPr>
            <w:tcW w:type="dxa" w:w="2160"/>
            <w:tcMar>
              <w:top w:w="80" w:type="dxa"/>
              <w:bottom w:w="80" w:type="dxa"/>
              <w:left w:w="80" w:type="dxa"/>
              <w:right w:w="80" w:type="dxa"/>
            </w:tcMar>
          </w:tcPr>
          <w:p>
            <w:pPr>
              <w:spacing w:after="0"/>
            </w:pPr>
            <w:r>
              <w:rPr>
                <w:rFonts w:ascii="Segoe UI" w:hAnsi="Segoe UI"/>
                <w:b/>
                <w:color w:val="1E3A8A"/>
                <w:sz w:val="17"/>
              </w:rPr>
              <w:t>Vector Mapping Engine</w:t>
            </w:r>
          </w:p>
        </w:tc>
        <w:tc>
          <w:tcPr>
            <w:tcW w:type="dxa" w:w="3168"/>
            <w:tcMar>
              <w:top w:w="80" w:type="dxa"/>
              <w:bottom w:w="80" w:type="dxa"/>
              <w:left w:w="80" w:type="dxa"/>
              <w:right w:w="80" w:type="dxa"/>
            </w:tcMar>
          </w:tcPr>
          <w:p>
            <w:pPr>
              <w:spacing w:after="0"/>
            </w:pPr>
            <w:r>
              <w:rPr>
                <w:rFonts w:ascii="Segoe UI" w:hAnsi="Segoe UI"/>
                <w:color w:val="2563EB"/>
                <w:sz w:val="17"/>
              </w:rPr>
              <w:t>MapLibre GL Native + Custom Webview Shims</w:t>
            </w:r>
          </w:p>
        </w:tc>
        <w:tc>
          <w:tcPr>
            <w:tcW w:type="dxa" w:w="4464"/>
            <w:tcMar>
              <w:top w:w="80" w:type="dxa"/>
              <w:bottom w:w="80" w:type="dxa"/>
              <w:left w:w="80" w:type="dxa"/>
              <w:right w:w="80" w:type="dxa"/>
            </w:tcMar>
          </w:tcPr>
          <w:p>
            <w:pPr>
              <w:spacing w:after="0"/>
            </w:pPr>
            <w:r>
              <w:rPr>
                <w:rFonts w:ascii="Segoe UI" w:hAnsi="Segoe UI"/>
                <w:color w:val="1E293B"/>
                <w:sz w:val="17"/>
              </w:rPr>
              <w:t>Zero Mapbox per-tile API costs. Fluid rendering of megabyte-scale multi-polygon GeoJSON sheets across 22 states with zero UI thread jank.</w:t>
            </w:r>
          </w:p>
        </w:tc>
      </w:tr>
      <w:tr>
        <w:tc>
          <w:tcPr>
            <w:tcW w:type="dxa" w:w="2160"/>
            <w:shd w:fill="F8FAFC" w:val="clear"/>
            <w:tcMar>
              <w:top w:w="80" w:type="dxa"/>
              <w:bottom w:w="80" w:type="dxa"/>
              <w:left w:w="80" w:type="dxa"/>
              <w:right w:w="80" w:type="dxa"/>
            </w:tcMar>
          </w:tcPr>
          <w:p>
            <w:pPr>
              <w:spacing w:after="0"/>
            </w:pPr>
            <w:r>
              <w:rPr>
                <w:rFonts w:ascii="Segoe UI" w:hAnsi="Segoe UI"/>
                <w:b/>
                <w:color w:val="1E3A8A"/>
                <w:sz w:val="17"/>
              </w:rPr>
              <w:t>Client Caching &amp; State</w:t>
            </w:r>
          </w:p>
        </w:tc>
        <w:tc>
          <w:tcPr>
            <w:tcW w:type="dxa" w:w="3168"/>
            <w:shd w:fill="F8FAFC" w:val="clear"/>
            <w:tcMar>
              <w:top w:w="80" w:type="dxa"/>
              <w:bottom w:w="80" w:type="dxa"/>
              <w:left w:w="80" w:type="dxa"/>
              <w:right w:w="80" w:type="dxa"/>
            </w:tcMar>
          </w:tcPr>
          <w:p>
            <w:pPr>
              <w:spacing w:after="0"/>
            </w:pPr>
            <w:r>
              <w:rPr>
                <w:rFonts w:ascii="Segoe UI" w:hAnsi="Segoe UI"/>
                <w:color w:val="2563EB"/>
                <w:sz w:val="17"/>
              </w:rPr>
              <w:t>Zustand + MMKV Key-Value Engine + TanStack Query</w:t>
            </w:r>
          </w:p>
        </w:tc>
        <w:tc>
          <w:tcPr>
            <w:tcW w:type="dxa" w:w="4464"/>
            <w:shd w:fill="F8FAFC" w:val="clear"/>
            <w:tcMar>
              <w:top w:w="80" w:type="dxa"/>
              <w:bottom w:w="80" w:type="dxa"/>
              <w:left w:w="80" w:type="dxa"/>
              <w:right w:w="80" w:type="dxa"/>
            </w:tcMar>
          </w:tcPr>
          <w:p>
            <w:pPr>
              <w:spacing w:after="0"/>
            </w:pPr>
            <w:r>
              <w:rPr>
                <w:rFonts w:ascii="Segoe UI" w:hAnsi="Segoe UI"/>
                <w:color w:val="1E293B"/>
                <w:sz w:val="17"/>
              </w:rPr>
              <w:t>Ultra-fast sub-millisecond offline-first caching for constituency profiles, eliminating redundant Supabase egress.</w:t>
            </w:r>
          </w:p>
        </w:tc>
      </w:tr>
      <w:tr>
        <w:tc>
          <w:tcPr>
            <w:tcW w:type="dxa" w:w="2160"/>
            <w:tcMar>
              <w:top w:w="80" w:type="dxa"/>
              <w:bottom w:w="80" w:type="dxa"/>
              <w:left w:w="80" w:type="dxa"/>
              <w:right w:w="80" w:type="dxa"/>
            </w:tcMar>
          </w:tcPr>
          <w:p>
            <w:pPr>
              <w:spacing w:after="0"/>
            </w:pPr>
            <w:r>
              <w:rPr>
                <w:rFonts w:ascii="Segoe UI" w:hAnsi="Segoe UI"/>
                <w:b/>
                <w:color w:val="1E3A8A"/>
                <w:sz w:val="17"/>
              </w:rPr>
              <w:t>Backend API &amp; Services</w:t>
            </w:r>
          </w:p>
        </w:tc>
        <w:tc>
          <w:tcPr>
            <w:tcW w:type="dxa" w:w="3168"/>
            <w:tcMar>
              <w:top w:w="80" w:type="dxa"/>
              <w:bottom w:w="80" w:type="dxa"/>
              <w:left w:w="80" w:type="dxa"/>
              <w:right w:w="80" w:type="dxa"/>
            </w:tcMar>
          </w:tcPr>
          <w:p>
            <w:pPr>
              <w:spacing w:after="0"/>
            </w:pPr>
            <w:r>
              <w:rPr>
                <w:rFonts w:ascii="Segoe UI" w:hAnsi="Segoe UI"/>
                <w:color w:val="2563EB"/>
                <w:sz w:val="17"/>
              </w:rPr>
              <w:t>Fastify 5.2, Node.js 20+, TypeScript, Zod, OpenAPI</w:t>
            </w:r>
          </w:p>
        </w:tc>
        <w:tc>
          <w:tcPr>
            <w:tcW w:type="dxa" w:w="4464"/>
            <w:tcMar>
              <w:top w:w="80" w:type="dxa"/>
              <w:bottom w:w="80" w:type="dxa"/>
              <w:left w:w="80" w:type="dxa"/>
              <w:right w:w="80" w:type="dxa"/>
            </w:tcMar>
          </w:tcPr>
          <w:p>
            <w:pPr>
              <w:spacing w:after="0"/>
            </w:pPr>
            <w:r>
              <w:rPr>
                <w:rFonts w:ascii="Segoe UI" w:hAnsi="Segoe UI"/>
                <w:color w:val="1E293B"/>
                <w:sz w:val="17"/>
              </w:rPr>
              <w:t>High throughput, low overhead async backend. Strict schema validation via Zod, rate limiting, Helmet security, and CORS.</w:t>
            </w:r>
          </w:p>
        </w:tc>
      </w:tr>
      <w:tr>
        <w:tc>
          <w:tcPr>
            <w:tcW w:type="dxa" w:w="2160"/>
            <w:shd w:fill="F8FAFC" w:val="clear"/>
            <w:tcMar>
              <w:top w:w="80" w:type="dxa"/>
              <w:bottom w:w="80" w:type="dxa"/>
              <w:left w:w="80" w:type="dxa"/>
              <w:right w:w="80" w:type="dxa"/>
            </w:tcMar>
          </w:tcPr>
          <w:p>
            <w:pPr>
              <w:spacing w:after="0"/>
            </w:pPr>
            <w:r>
              <w:rPr>
                <w:rFonts w:ascii="Segoe UI" w:hAnsi="Segoe UI"/>
                <w:b/>
                <w:color w:val="1E3A8A"/>
                <w:sz w:val="17"/>
              </w:rPr>
              <w:t>Database &amp; Spatial Engine</w:t>
            </w:r>
          </w:p>
        </w:tc>
        <w:tc>
          <w:tcPr>
            <w:tcW w:type="dxa" w:w="3168"/>
            <w:shd w:fill="F8FAFC" w:val="clear"/>
            <w:tcMar>
              <w:top w:w="80" w:type="dxa"/>
              <w:bottom w:w="80" w:type="dxa"/>
              <w:left w:w="80" w:type="dxa"/>
              <w:right w:w="80" w:type="dxa"/>
            </w:tcMar>
          </w:tcPr>
          <w:p>
            <w:pPr>
              <w:spacing w:after="0"/>
            </w:pPr>
            <w:r>
              <w:rPr>
                <w:rFonts w:ascii="Segoe UI" w:hAnsi="Segoe UI"/>
                <w:color w:val="2563EB"/>
                <w:sz w:val="17"/>
              </w:rPr>
              <w:t>Supabase (PostgreSQL 15+), PostGIS, pgvector</w:t>
            </w:r>
          </w:p>
        </w:tc>
        <w:tc>
          <w:tcPr>
            <w:tcW w:type="dxa" w:w="4464"/>
            <w:shd w:fill="F8FAFC" w:val="clear"/>
            <w:tcMar>
              <w:top w:w="80" w:type="dxa"/>
              <w:bottom w:w="80" w:type="dxa"/>
              <w:left w:w="80" w:type="dxa"/>
              <w:right w:w="80" w:type="dxa"/>
            </w:tcMar>
          </w:tcPr>
          <w:p>
            <w:pPr>
              <w:spacing w:after="0"/>
            </w:pPr>
            <w:r>
              <w:rPr>
                <w:rFonts w:ascii="Segoe UI" w:hAnsi="Segoe UI"/>
                <w:color w:val="1E293B"/>
                <w:sz w:val="17"/>
              </w:rPr>
              <w:t>26 SQL migration files. PostGIS handles complex spatial polygon intersects (ST_Contains). pgvector enables semantic AI search across speeches &amp; manifestos.</w:t>
            </w:r>
          </w:p>
        </w:tc>
      </w:tr>
      <w:tr>
        <w:tc>
          <w:tcPr>
            <w:tcW w:type="dxa" w:w="2160"/>
            <w:tcMar>
              <w:top w:w="80" w:type="dxa"/>
              <w:bottom w:w="80" w:type="dxa"/>
              <w:left w:w="80" w:type="dxa"/>
              <w:right w:w="80" w:type="dxa"/>
            </w:tcMar>
          </w:tcPr>
          <w:p>
            <w:pPr>
              <w:spacing w:after="0"/>
            </w:pPr>
            <w:r>
              <w:rPr>
                <w:rFonts w:ascii="Segoe UI" w:hAnsi="Segoe UI"/>
                <w:b/>
                <w:color w:val="1E3A8A"/>
                <w:sz w:val="17"/>
              </w:rPr>
              <w:t>Data Ingestion &amp; Scraping</w:t>
            </w:r>
          </w:p>
        </w:tc>
        <w:tc>
          <w:tcPr>
            <w:tcW w:type="dxa" w:w="3168"/>
            <w:tcMar>
              <w:top w:w="80" w:type="dxa"/>
              <w:bottom w:w="80" w:type="dxa"/>
              <w:left w:w="80" w:type="dxa"/>
              <w:right w:w="80" w:type="dxa"/>
            </w:tcMar>
          </w:tcPr>
          <w:p>
            <w:pPr>
              <w:spacing w:after="0"/>
            </w:pPr>
            <w:r>
              <w:rPr>
                <w:rFonts w:ascii="Segoe UI" w:hAnsi="Segoe UI"/>
                <w:color w:val="2563EB"/>
                <w:sz w:val="17"/>
              </w:rPr>
              <w:t>Puppeteer (Headless Chromium), Cheerio, Node.js</w:t>
            </w:r>
          </w:p>
        </w:tc>
        <w:tc>
          <w:tcPr>
            <w:tcW w:type="dxa" w:w="4464"/>
            <w:tcMar>
              <w:top w:w="80" w:type="dxa"/>
              <w:bottom w:w="80" w:type="dxa"/>
              <w:left w:w="80" w:type="dxa"/>
              <w:right w:w="80" w:type="dxa"/>
            </w:tcMar>
          </w:tcPr>
          <w:p>
            <w:pPr>
              <w:spacing w:after="0"/>
            </w:pPr>
            <w:r>
              <w:rPr>
                <w:rFonts w:ascii="Segoe UI" w:hAnsi="Segoe UI"/>
                <w:color w:val="1E293B"/>
                <w:sz w:val="17"/>
              </w:rPr>
              <w:t>Resilient scraping pipeline bypassing client-side obfuscation. Normalizes ECI results, MyNeta affidavits, sansad.in, and LGD hierarchies.</w:t>
            </w:r>
          </w:p>
        </w:tc>
      </w:tr>
    </w:tbl>
    <w:p>
      <w:pPr>
        <w:spacing w:after="160" w:before="0" w:line="276" w:lineRule="auto"/>
        <w:jc w:val="left"/>
      </w:pPr>
    </w:p>
    <w:p>
      <w:pPr>
        <w:keepNext/>
        <w:spacing w:before="240" w:after="80"/>
      </w:pPr>
      <w:r>
        <w:rPr>
          <w:rFonts w:ascii="Segoe UI" w:hAnsi="Segoe UI"/>
          <w:b/>
          <w:color w:val="2563EB"/>
          <w:sz w:val="25"/>
        </w:rPr>
        <w:t>Key Engineering Achievements &amp; Positives in the Current Codebase:</w:t>
      </w:r>
    </w:p>
    <w:p>
      <w:pPr>
        <w:pStyle w:val="ListBullet"/>
        <w:spacing w:before="0" w:after="60" w:line="276" w:lineRule="auto"/>
      </w:pPr>
      <w:r>
        <w:rPr>
          <w:rFonts w:ascii="Segoe UI" w:hAnsi="Segoe UI"/>
          <w:b/>
          <w:color w:val="0F172A"/>
          <w:sz w:val="20"/>
        </w:rPr>
        <w:t xml:space="preserve">100% Clean TypeScript Compilation (EXIT 0): </w:t>
      </w:r>
      <w:r>
        <w:rPr>
          <w:rFonts w:ascii="Segoe UI" w:hAnsi="Segoe UI"/>
          <w:color w:val="1E293B"/>
          <w:sz w:val="20"/>
        </w:rPr>
        <w:t>All interfaces across `@kshetra/mobile`, `@kshetra/api`, and `@kshetra/shared` pass strict static type-checking with zero errors (`tsc --noEmit`).</w:t>
      </w:r>
    </w:p>
    <w:p>
      <w:pPr>
        <w:pStyle w:val="ListBullet"/>
        <w:spacing w:before="0" w:after="60" w:line="276" w:lineRule="auto"/>
      </w:pPr>
      <w:r>
        <w:rPr>
          <w:rFonts w:ascii="Segoe UI" w:hAnsi="Segoe UI"/>
          <w:b/>
          <w:color w:val="0F172A"/>
          <w:sz w:val="20"/>
        </w:rPr>
        <w:t xml:space="preserve">Monorepo Code Sharing (`@kshetra/shared`): </w:t>
      </w:r>
      <w:r>
        <w:rPr>
          <w:rFonts w:ascii="Segoe UI" w:hAnsi="Segoe UI"/>
          <w:color w:val="1E293B"/>
          <w:sz w:val="20"/>
        </w:rPr>
        <w:t>Unified TypeScript interfaces for `MLAProfile`, `MPProfile`, `Constituency`, `ElectionResult`, and `DelimitationProjection` are shared across the API, mobile frontend, and scrapers.</w:t>
      </w:r>
    </w:p>
    <w:p>
      <w:pPr>
        <w:pStyle w:val="ListBullet"/>
        <w:spacing w:before="0" w:after="60" w:line="276" w:lineRule="auto"/>
      </w:pPr>
      <w:r>
        <w:rPr>
          <w:rFonts w:ascii="Segoe UI" w:hAnsi="Segoe UI"/>
          <w:b/>
          <w:color w:val="0F172A"/>
          <w:sz w:val="20"/>
        </w:rPr>
        <w:t xml:space="preserve">Content Creator Accountability (CCA) Architecture: </w:t>
      </w:r>
      <w:r>
        <w:rPr>
          <w:rFonts w:ascii="Segoe UI" w:hAnsi="Segoe UI"/>
          <w:color w:val="1E293B"/>
          <w:sz w:val="20"/>
        </w:rPr>
        <w:t>Built-in legal defense layer requiring phone OTP and KYC binding for user-generated posts. Protects the platform under IT Act guidelines and prevents malicious political astroturfing.</w:t>
      </w:r>
    </w:p>
    <w:p>
      <w:pPr>
        <w:pStyle w:val="ListBullet"/>
        <w:spacing w:before="0" w:after="60" w:line="276" w:lineRule="auto"/>
      </w:pPr>
      <w:r>
        <w:rPr>
          <w:rFonts w:ascii="Segoe UI" w:hAnsi="Segoe UI"/>
          <w:b/>
          <w:color w:val="0F172A"/>
          <w:sz w:val="20"/>
        </w:rPr>
        <w:t xml:space="preserve">Automated 48-Hour Pre-Poll Silence Lockdown: </w:t>
      </w:r>
      <w:r>
        <w:rPr>
          <w:rFonts w:ascii="Segoe UI" w:hAnsi="Segoe UI"/>
          <w:color w:val="1E293B"/>
          <w:sz w:val="20"/>
        </w:rPr>
        <w:t>Built-in compliance with Section 126 of the Representation of the People Act (RPA). Automatically switches active voting constituencies into read-only mode during the mandatory 48-hour pre-poll silence window.</w:t>
      </w:r>
    </w:p>
    <w:p>
      <w:pPr>
        <w:keepNext/>
        <w:spacing w:before="320" w:after="120"/>
      </w:pPr>
      <w:r>
        <w:rPr>
          <w:rFonts w:ascii="Segoe UI" w:hAnsi="Segoe UI"/>
          <w:b/>
          <w:color w:val="1E3A8A"/>
          <w:sz w:val="30"/>
        </w:rPr>
        <w:t>5. Defensible Data Moat &amp; Proprietary Assets</w:t>
      </w:r>
    </w:p>
    <w:p>
      <w:pPr>
        <w:spacing w:after="120" w:before="0" w:line="276" w:lineRule="auto"/>
        <w:jc w:val="left"/>
      </w:pPr>
      <w:r>
        <w:rPr>
          <w:rFonts w:ascii="Segoe UI" w:hAnsi="Segoe UI"/>
          <w:b w:val="0"/>
          <w:i w:val="0"/>
          <w:color w:val="1E293B"/>
          <w:sz w:val="21"/>
        </w:rPr>
        <w:t>In software engineering, UI can be copied, but normalized, verified, multi-tiered spatial data is extraordinarily painful and time-consuming to replicate. Kshetra has already crossed the highest hurdles of data ingestion:</w:t>
      </w:r>
    </w:p>
    <w:p>
      <w:pPr>
        <w:pStyle w:val="ListBullet"/>
        <w:spacing w:before="0" w:after="60" w:line="276" w:lineRule="auto"/>
      </w:pPr>
      <w:r>
        <w:rPr>
          <w:rFonts w:ascii="Segoe UI" w:hAnsi="Segoe UI"/>
          <w:b/>
          <w:color w:val="0F172A"/>
          <w:sz w:val="20"/>
        </w:rPr>
        <w:t xml:space="preserve">22 Indian States &amp; UTs Vector Polygons: </w:t>
      </w:r>
      <w:r>
        <w:rPr>
          <w:rFonts w:ascii="Segoe UI" w:hAnsi="Segoe UI"/>
          <w:color w:val="1E293B"/>
          <w:sz w:val="20"/>
        </w:rPr>
        <w:t>High-density GeoJSON boundary vectors stored locally in `apps/mobile/data/geojson/` covering 3,766+ Assembly Constituencies and over 95% of India's population (TS, AP, KA, MH, UP, WB, TN, KL, MP, RJ, GJ, BR, PB, HR, etc.).</w:t>
      </w:r>
    </w:p>
    <w:p>
      <w:pPr>
        <w:pStyle w:val="ListBullet"/>
        <w:spacing w:before="0" w:after="60" w:line="276" w:lineRule="auto"/>
      </w:pPr>
      <w:r>
        <w:rPr>
          <w:rFonts w:ascii="Segoe UI" w:hAnsi="Segoe UI"/>
          <w:b/>
          <w:color w:val="0F172A"/>
          <w:sz w:val="20"/>
        </w:rPr>
        <w:t xml:space="preserve">100% Complete Lok Sabha MP Dataset (543 / 543): </w:t>
      </w:r>
      <w:r>
        <w:rPr>
          <w:rFonts w:ascii="Segoe UI" w:hAnsi="Segoe UI"/>
          <w:color w:val="1E293B"/>
          <w:sz w:val="20"/>
        </w:rPr>
        <w:t>All 543 Lok Sabha members scraped, verified, and seeded with high-res photo URLs, verified state codes, terms served, party affiliations, and ministerial portfolios.</w:t>
      </w:r>
    </w:p>
    <w:p>
      <w:pPr>
        <w:pStyle w:val="ListBullet"/>
        <w:spacing w:before="0" w:after="60" w:line="276" w:lineRule="auto"/>
      </w:pPr>
      <w:r>
        <w:rPr>
          <w:rFonts w:ascii="Segoe UI" w:hAnsi="Segoe UI"/>
          <w:b/>
          <w:color w:val="0F172A"/>
          <w:sz w:val="20"/>
        </w:rPr>
        <w:t xml:space="preserve">Gold-Standard State Ensembles: </w:t>
      </w:r>
      <w:r>
        <w:rPr>
          <w:rFonts w:ascii="Segoe UI" w:hAnsi="Segoe UI"/>
          <w:color w:val="1E293B"/>
          <w:sz w:val="20"/>
        </w:rPr>
        <w:t>Telangana (119 ACs) and Andhra Pradesh (175 ACs) have 100% complete historical results (2014, 2018, 2019, 2023, 2024), defected legislator tracking, demographics, and political timelines. Maharashtra (288 ACs) and Karnataka (224 ACs) are at 95% completion.</w:t>
      </w:r>
    </w:p>
    <w:p>
      <w:pPr>
        <w:pStyle w:val="ListBullet"/>
        <w:spacing w:before="0" w:after="60" w:line="276" w:lineRule="auto"/>
      </w:pPr>
      <w:r>
        <w:rPr>
          <w:rFonts w:ascii="Segoe UI" w:hAnsi="Segoe UI"/>
          <w:b/>
          <w:color w:val="0F172A"/>
          <w:sz w:val="20"/>
        </w:rPr>
        <w:t xml:space="preserve">Pre-Seeded Regional Assemblies: </w:t>
      </w:r>
      <w:r>
        <w:rPr>
          <w:rFonts w:ascii="Segoe UI" w:hAnsi="Segoe UI"/>
          <w:color w:val="1E293B"/>
          <w:sz w:val="20"/>
        </w:rPr>
        <w:t>Scraped and seeded datasets for UP (403 MLAs), West Bengal (294 MLAs), Tamil Nadu (234 MLAs), and Kerala (121 MLAs) ready for adapter wiring.</w:t>
      </w:r>
    </w:p>
    <w:p>
      <w:pPr>
        <w:pStyle w:val="ListBullet"/>
        <w:spacing w:before="0" w:after="60" w:line="276" w:lineRule="auto"/>
      </w:pPr>
      <w:r>
        <w:rPr>
          <w:rFonts w:ascii="Segoe UI" w:hAnsi="Segoe UI"/>
          <w:b/>
          <w:color w:val="0F172A"/>
          <w:sz w:val="20"/>
        </w:rPr>
        <w:t xml:space="preserve">Multi-Lingual Localization Engine: </w:t>
      </w:r>
      <w:r>
        <w:rPr>
          <w:rFonts w:ascii="Segoe UI" w:hAnsi="Segoe UI"/>
          <w:color w:val="1E293B"/>
          <w:sz w:val="20"/>
        </w:rPr>
        <w:t>Built-in `i18n` support with full translation dictionaries for English, Hindi (हिन्दी), Telugu (తెలుగు), Kannada (ಕನ್ನಡ), and Marathi (मराठी).</w:t>
      </w:r>
    </w:p>
    <w:p>
      <w:pPr>
        <w:keepNext/>
        <w:spacing w:before="320" w:after="120"/>
      </w:pPr>
      <w:r>
        <w:rPr>
          <w:rFonts w:ascii="Segoe UI" w:hAnsi="Segoe UI"/>
          <w:b/>
          <w:color w:val="1E3A8A"/>
          <w:sz w:val="30"/>
        </w:rPr>
        <w:t>6. Revenue Potential &amp; Multi-Stream Monetization Model</w:t>
      </w:r>
    </w:p>
    <w:p>
      <w:pPr>
        <w:spacing w:after="120" w:before="0" w:line="276" w:lineRule="auto"/>
        <w:jc w:val="left"/>
      </w:pPr>
      <w:r>
        <w:rPr>
          <w:rFonts w:ascii="Segoe UI" w:hAnsi="Segoe UI"/>
          <w:b w:val="0"/>
          <w:i w:val="0"/>
          <w:color w:val="1E293B"/>
          <w:sz w:val="21"/>
        </w:rPr>
        <w:t>Kshetra addresses both high-ticket B2B institutional demand and high-volume B2C consumer monetization through a 12-stream revenue matrix across 3 distinct phases: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62"/>
        <w:gridCol w:w="1662"/>
        <w:gridCol w:w="1662"/>
        <w:gridCol w:w="1662"/>
        <w:gridCol w:w="1662"/>
        <w:gridCol w:w="1662"/>
      </w:tblGrid>
      <w:tr>
        <w:tc>
          <w:tcPr>
            <w:tcW w:type="dxa" w:w="1662"/>
            <w:shd w:fill="1E3A8A" w:val="clear"/>
            <w:tcMar>
              <w:top w:w="100" w:type="dxa"/>
              <w:bottom w:w="100" w:type="dxa"/>
              <w:left w:w="80" w:type="dxa"/>
              <w:right w:w="80" w:type="dxa"/>
            </w:tcMar>
          </w:tcPr>
          <w:p>
            <w:pPr>
              <w:spacing w:after="0"/>
            </w:pPr>
            <w:r>
              <w:rPr>
                <w:rFonts w:ascii="Segoe UI" w:hAnsi="Segoe UI"/>
                <w:b/>
                <w:color w:val="FFFFFF"/>
                <w:sz w:val="17"/>
              </w:rPr>
              <w:t>Metric / Year</w:t>
            </w:r>
          </w:p>
        </w:tc>
        <w:tc>
          <w:tcPr>
            <w:tcW w:type="dxa" w:w="1662"/>
            <w:shd w:fill="1E3A8A" w:val="clear"/>
            <w:tcMar>
              <w:top w:w="100" w:type="dxa"/>
              <w:bottom w:w="100" w:type="dxa"/>
              <w:left w:w="80" w:type="dxa"/>
              <w:right w:w="80" w:type="dxa"/>
            </w:tcMar>
          </w:tcPr>
          <w:p>
            <w:pPr>
              <w:spacing w:after="0"/>
            </w:pPr>
            <w:r>
              <w:rPr>
                <w:rFonts w:ascii="Segoe UI" w:hAnsi="Segoe UI"/>
                <w:b/>
                <w:color w:val="FFFFFF"/>
                <w:sz w:val="17"/>
              </w:rPr>
              <w:t>Year 1 (Launch)</w:t>
            </w:r>
          </w:p>
        </w:tc>
        <w:tc>
          <w:tcPr>
            <w:tcW w:type="dxa" w:w="1662"/>
            <w:shd w:fill="1E3A8A" w:val="clear"/>
            <w:tcMar>
              <w:top w:w="100" w:type="dxa"/>
              <w:bottom w:w="100" w:type="dxa"/>
              <w:left w:w="80" w:type="dxa"/>
              <w:right w:w="80" w:type="dxa"/>
            </w:tcMar>
          </w:tcPr>
          <w:p>
            <w:pPr>
              <w:spacing w:after="0"/>
            </w:pPr>
            <w:r>
              <w:rPr>
                <w:rFonts w:ascii="Segoe UI" w:hAnsi="Segoe UI"/>
                <w:b/>
                <w:color w:val="FFFFFF"/>
                <w:sz w:val="17"/>
              </w:rPr>
              <w:t>Year 2 (Expansion)</w:t>
            </w:r>
          </w:p>
        </w:tc>
        <w:tc>
          <w:tcPr>
            <w:tcW w:type="dxa" w:w="1662"/>
            <w:shd w:fill="1E3A8A" w:val="clear"/>
            <w:tcMar>
              <w:top w:w="100" w:type="dxa"/>
              <w:bottom w:w="100" w:type="dxa"/>
              <w:left w:w="80" w:type="dxa"/>
              <w:right w:w="80" w:type="dxa"/>
            </w:tcMar>
          </w:tcPr>
          <w:p>
            <w:pPr>
              <w:spacing w:after="0"/>
            </w:pPr>
            <w:r>
              <w:rPr>
                <w:rFonts w:ascii="Segoe UI" w:hAnsi="Segoe UI"/>
                <w:b/>
                <w:color w:val="FFFFFF"/>
                <w:sz w:val="17"/>
              </w:rPr>
              <w:t>Year 3 (Election)</w:t>
            </w:r>
          </w:p>
        </w:tc>
        <w:tc>
          <w:tcPr>
            <w:tcW w:type="dxa" w:w="1662"/>
            <w:shd w:fill="1E3A8A" w:val="clear"/>
            <w:tcMar>
              <w:top w:w="100" w:type="dxa"/>
              <w:bottom w:w="100" w:type="dxa"/>
              <w:left w:w="80" w:type="dxa"/>
              <w:right w:w="80" w:type="dxa"/>
            </w:tcMar>
          </w:tcPr>
          <w:p>
            <w:pPr>
              <w:spacing w:after="0"/>
            </w:pPr>
            <w:r>
              <w:rPr>
                <w:rFonts w:ascii="Segoe UI" w:hAnsi="Segoe UI"/>
                <w:b/>
                <w:color w:val="FFFFFF"/>
                <w:sz w:val="17"/>
              </w:rPr>
              <w:t>Year 4 (Scale)</w:t>
            </w:r>
          </w:p>
        </w:tc>
        <w:tc>
          <w:tcPr>
            <w:tcW w:type="dxa" w:w="1662"/>
            <w:shd w:fill="1E3A8A" w:val="clear"/>
            <w:tcMar>
              <w:top w:w="100" w:type="dxa"/>
              <w:bottom w:w="100" w:type="dxa"/>
              <w:left w:w="80" w:type="dxa"/>
              <w:right w:w="80" w:type="dxa"/>
            </w:tcMar>
          </w:tcPr>
          <w:p>
            <w:pPr>
              <w:spacing w:after="0"/>
            </w:pPr>
            <w:r>
              <w:rPr>
                <w:rFonts w:ascii="Segoe UI" w:hAnsi="Segoe UI"/>
                <w:b/>
                <w:color w:val="FFFFFF"/>
                <w:sz w:val="17"/>
              </w:rPr>
              <w:t>Year 5 (Dominance)</w:t>
            </w:r>
          </w:p>
        </w:tc>
      </w:tr>
      <w:tr>
        <w:tc>
          <w:tcPr>
            <w:tcW w:type="dxa" w:w="1662"/>
            <w:shd w:fill="F8FAFC" w:val="clear"/>
            <w:tcMar>
              <w:top w:w="80" w:type="dxa"/>
              <w:bottom w:w="80" w:type="dxa"/>
              <w:left w:w="80" w:type="dxa"/>
              <w:right w:w="80" w:type="dxa"/>
            </w:tcMar>
          </w:tcPr>
          <w:p>
            <w:pPr>
              <w:spacing w:after="0"/>
            </w:pPr>
            <w:r>
              <w:rPr>
                <w:rFonts w:ascii="Segoe UI" w:hAnsi="Segoe UI"/>
                <w:b/>
                <w:color w:val="0F172A"/>
                <w:sz w:val="17"/>
              </w:rPr>
              <w:t>Registered Users</w:t>
            </w:r>
          </w:p>
        </w:tc>
        <w:tc>
          <w:tcPr>
            <w:tcW w:type="dxa" w:w="1662"/>
            <w:shd w:fill="F8FAFC" w:val="clear"/>
            <w:tcMar>
              <w:top w:w="80" w:type="dxa"/>
              <w:bottom w:w="80" w:type="dxa"/>
              <w:left w:w="80" w:type="dxa"/>
              <w:right w:w="80" w:type="dxa"/>
            </w:tcMar>
          </w:tcPr>
          <w:p>
            <w:pPr>
              <w:spacing w:after="0"/>
            </w:pPr>
            <w:r>
              <w:rPr>
                <w:rFonts w:ascii="Segoe UI" w:hAnsi="Segoe UI"/>
                <w:color w:val="1E293B"/>
                <w:sz w:val="17"/>
              </w:rPr>
              <w:t>2,00,000</w:t>
            </w:r>
          </w:p>
        </w:tc>
        <w:tc>
          <w:tcPr>
            <w:tcW w:type="dxa" w:w="1662"/>
            <w:shd w:fill="F8FAFC" w:val="clear"/>
            <w:tcMar>
              <w:top w:w="80" w:type="dxa"/>
              <w:bottom w:w="80" w:type="dxa"/>
              <w:left w:w="80" w:type="dxa"/>
              <w:right w:w="80" w:type="dxa"/>
            </w:tcMar>
          </w:tcPr>
          <w:p>
            <w:pPr>
              <w:spacing w:after="0"/>
            </w:pPr>
            <w:r>
              <w:rPr>
                <w:rFonts w:ascii="Segoe UI" w:hAnsi="Segoe UI"/>
                <w:color w:val="1E293B"/>
                <w:sz w:val="17"/>
              </w:rPr>
              <w:t>12,00,000</w:t>
            </w:r>
          </w:p>
        </w:tc>
        <w:tc>
          <w:tcPr>
            <w:tcW w:type="dxa" w:w="1662"/>
            <w:shd w:fill="F8FAFC" w:val="clear"/>
            <w:tcMar>
              <w:top w:w="80" w:type="dxa"/>
              <w:bottom w:w="80" w:type="dxa"/>
              <w:left w:w="80" w:type="dxa"/>
              <w:right w:w="80" w:type="dxa"/>
            </w:tcMar>
          </w:tcPr>
          <w:p>
            <w:pPr>
              <w:spacing w:after="0"/>
            </w:pPr>
            <w:r>
              <w:rPr>
                <w:rFonts w:ascii="Segoe UI" w:hAnsi="Segoe UI"/>
                <w:color w:val="1E293B"/>
                <w:sz w:val="17"/>
              </w:rPr>
              <w:t>45,00,000</w:t>
            </w:r>
          </w:p>
        </w:tc>
        <w:tc>
          <w:tcPr>
            <w:tcW w:type="dxa" w:w="1662"/>
            <w:shd w:fill="F8FAFC" w:val="clear"/>
            <w:tcMar>
              <w:top w:w="80" w:type="dxa"/>
              <w:bottom w:w="80" w:type="dxa"/>
              <w:left w:w="80" w:type="dxa"/>
              <w:right w:w="80" w:type="dxa"/>
            </w:tcMar>
          </w:tcPr>
          <w:p>
            <w:pPr>
              <w:spacing w:after="0"/>
            </w:pPr>
            <w:r>
              <w:rPr>
                <w:rFonts w:ascii="Segoe UI" w:hAnsi="Segoe UI"/>
                <w:color w:val="1E293B"/>
                <w:sz w:val="17"/>
              </w:rPr>
              <w:t>1,20,00,000</w:t>
            </w:r>
          </w:p>
        </w:tc>
        <w:tc>
          <w:tcPr>
            <w:tcW w:type="dxa" w:w="1662"/>
            <w:shd w:fill="F8FAFC" w:val="clear"/>
            <w:tcMar>
              <w:top w:w="80" w:type="dxa"/>
              <w:bottom w:w="80" w:type="dxa"/>
              <w:left w:w="80" w:type="dxa"/>
              <w:right w:w="80" w:type="dxa"/>
            </w:tcMar>
          </w:tcPr>
          <w:p>
            <w:pPr>
              <w:spacing w:after="0"/>
            </w:pPr>
            <w:r>
              <w:rPr>
                <w:rFonts w:ascii="Segoe UI" w:hAnsi="Segoe UI"/>
                <w:color w:val="1E293B"/>
                <w:sz w:val="17"/>
              </w:rPr>
              <w:t>2,00,00,000</w:t>
            </w:r>
          </w:p>
        </w:tc>
      </w:tr>
      <w:tr>
        <w:tc>
          <w:tcPr>
            <w:tcW w:type="dxa" w:w="1662"/>
            <w:tcMar>
              <w:top w:w="80" w:type="dxa"/>
              <w:bottom w:w="80" w:type="dxa"/>
              <w:left w:w="80" w:type="dxa"/>
              <w:right w:w="80" w:type="dxa"/>
            </w:tcMar>
          </w:tcPr>
          <w:p>
            <w:pPr>
              <w:spacing w:after="0"/>
            </w:pPr>
            <w:r>
              <w:rPr>
                <w:rFonts w:ascii="Segoe UI" w:hAnsi="Segoe UI"/>
                <w:b/>
                <w:color w:val="0F172A"/>
                <w:sz w:val="17"/>
              </w:rPr>
              <w:t>Monthly Active Users</w:t>
            </w:r>
          </w:p>
        </w:tc>
        <w:tc>
          <w:tcPr>
            <w:tcW w:type="dxa" w:w="1662"/>
            <w:tcMar>
              <w:top w:w="80" w:type="dxa"/>
              <w:bottom w:w="80" w:type="dxa"/>
              <w:left w:w="80" w:type="dxa"/>
              <w:right w:w="80" w:type="dxa"/>
            </w:tcMar>
          </w:tcPr>
          <w:p>
            <w:pPr>
              <w:spacing w:after="0"/>
            </w:pPr>
            <w:r>
              <w:rPr>
                <w:rFonts w:ascii="Segoe UI" w:hAnsi="Segoe UI"/>
                <w:color w:val="1E293B"/>
                <w:sz w:val="17"/>
              </w:rPr>
              <w:t>80,000</w:t>
            </w:r>
          </w:p>
        </w:tc>
        <w:tc>
          <w:tcPr>
            <w:tcW w:type="dxa" w:w="1662"/>
            <w:tcMar>
              <w:top w:w="80" w:type="dxa"/>
              <w:bottom w:w="80" w:type="dxa"/>
              <w:left w:w="80" w:type="dxa"/>
              <w:right w:w="80" w:type="dxa"/>
            </w:tcMar>
          </w:tcPr>
          <w:p>
            <w:pPr>
              <w:spacing w:after="0"/>
            </w:pPr>
            <w:r>
              <w:rPr>
                <w:rFonts w:ascii="Segoe UI" w:hAnsi="Segoe UI"/>
                <w:color w:val="1E293B"/>
                <w:sz w:val="17"/>
              </w:rPr>
              <w:t>5,00,000</w:t>
            </w:r>
          </w:p>
        </w:tc>
        <w:tc>
          <w:tcPr>
            <w:tcW w:type="dxa" w:w="1662"/>
            <w:tcMar>
              <w:top w:w="80" w:type="dxa"/>
              <w:bottom w:w="80" w:type="dxa"/>
              <w:left w:w="80" w:type="dxa"/>
              <w:right w:w="80" w:type="dxa"/>
            </w:tcMar>
          </w:tcPr>
          <w:p>
            <w:pPr>
              <w:spacing w:after="0"/>
            </w:pPr>
            <w:r>
              <w:rPr>
                <w:rFonts w:ascii="Segoe UI" w:hAnsi="Segoe UI"/>
                <w:color w:val="1E293B"/>
                <w:sz w:val="17"/>
              </w:rPr>
              <w:t>20,00,000</w:t>
            </w:r>
          </w:p>
        </w:tc>
        <w:tc>
          <w:tcPr>
            <w:tcW w:type="dxa" w:w="1662"/>
            <w:tcMar>
              <w:top w:w="80" w:type="dxa"/>
              <w:bottom w:w="80" w:type="dxa"/>
              <w:left w:w="80" w:type="dxa"/>
              <w:right w:w="80" w:type="dxa"/>
            </w:tcMar>
          </w:tcPr>
          <w:p>
            <w:pPr>
              <w:spacing w:after="0"/>
            </w:pPr>
            <w:r>
              <w:rPr>
                <w:rFonts w:ascii="Segoe UI" w:hAnsi="Segoe UI"/>
                <w:color w:val="1E293B"/>
                <w:sz w:val="17"/>
              </w:rPr>
              <w:t>60,00,000</w:t>
            </w:r>
          </w:p>
        </w:tc>
        <w:tc>
          <w:tcPr>
            <w:tcW w:type="dxa" w:w="1662"/>
            <w:tcMar>
              <w:top w:w="80" w:type="dxa"/>
              <w:bottom w:w="80" w:type="dxa"/>
              <w:left w:w="80" w:type="dxa"/>
              <w:right w:w="80" w:type="dxa"/>
            </w:tcMar>
          </w:tcPr>
          <w:p>
            <w:pPr>
              <w:spacing w:after="0"/>
            </w:pPr>
            <w:r>
              <w:rPr>
                <w:rFonts w:ascii="Segoe UI" w:hAnsi="Segoe UI"/>
                <w:color w:val="1E293B"/>
                <w:sz w:val="17"/>
              </w:rPr>
              <w:t>1,00,00,000</w:t>
            </w:r>
          </w:p>
        </w:tc>
      </w:tr>
      <w:tr>
        <w:tc>
          <w:tcPr>
            <w:tcW w:type="dxa" w:w="1662"/>
            <w:shd w:fill="F8FAFC" w:val="clear"/>
            <w:tcMar>
              <w:top w:w="80" w:type="dxa"/>
              <w:bottom w:w="80" w:type="dxa"/>
              <w:left w:w="80" w:type="dxa"/>
              <w:right w:w="80" w:type="dxa"/>
            </w:tcMar>
          </w:tcPr>
          <w:p>
            <w:pPr>
              <w:spacing w:after="0"/>
            </w:pPr>
            <w:r>
              <w:rPr>
                <w:rFonts w:ascii="Segoe UI" w:hAnsi="Segoe UI"/>
                <w:b/>
                <w:color w:val="0F172A"/>
                <w:sz w:val="17"/>
              </w:rPr>
              <w:t>Total Gross Revenue</w:t>
            </w:r>
          </w:p>
        </w:tc>
        <w:tc>
          <w:tcPr>
            <w:tcW w:type="dxa" w:w="1662"/>
            <w:shd w:fill="F8FAFC" w:val="clear"/>
            <w:tcMar>
              <w:top w:w="80" w:type="dxa"/>
              <w:bottom w:w="80" w:type="dxa"/>
              <w:left w:w="80" w:type="dxa"/>
              <w:right w:w="80" w:type="dxa"/>
            </w:tcMar>
          </w:tcPr>
          <w:p>
            <w:pPr>
              <w:spacing w:after="0"/>
            </w:pPr>
            <w:r>
              <w:rPr>
                <w:rFonts w:ascii="Segoe UI" w:hAnsi="Segoe UI"/>
                <w:color w:val="1E293B"/>
                <w:sz w:val="17"/>
              </w:rPr>
              <w:t>₹1.68 Crore</w:t>
            </w:r>
          </w:p>
        </w:tc>
        <w:tc>
          <w:tcPr>
            <w:tcW w:type="dxa" w:w="1662"/>
            <w:shd w:fill="F8FAFC" w:val="clear"/>
            <w:tcMar>
              <w:top w:w="80" w:type="dxa"/>
              <w:bottom w:w="80" w:type="dxa"/>
              <w:left w:w="80" w:type="dxa"/>
              <w:right w:w="80" w:type="dxa"/>
            </w:tcMar>
          </w:tcPr>
          <w:p>
            <w:pPr>
              <w:spacing w:after="0"/>
            </w:pPr>
            <w:r>
              <w:rPr>
                <w:rFonts w:ascii="Segoe UI" w:hAnsi="Segoe UI"/>
                <w:color w:val="1E293B"/>
                <w:sz w:val="17"/>
              </w:rPr>
              <w:t>₹8.95 Crore</w:t>
            </w:r>
          </w:p>
        </w:tc>
        <w:tc>
          <w:tcPr>
            <w:tcW w:type="dxa" w:w="1662"/>
            <w:shd w:fill="F8FAFC" w:val="clear"/>
            <w:tcMar>
              <w:top w:w="80" w:type="dxa"/>
              <w:bottom w:w="80" w:type="dxa"/>
              <w:left w:w="80" w:type="dxa"/>
              <w:right w:w="80" w:type="dxa"/>
            </w:tcMar>
          </w:tcPr>
          <w:p>
            <w:pPr>
              <w:spacing w:after="0"/>
            </w:pPr>
            <w:r>
              <w:rPr>
                <w:rFonts w:ascii="Segoe UI" w:hAnsi="Segoe UI"/>
                <w:color w:val="1E293B"/>
                <w:sz w:val="17"/>
              </w:rPr>
              <w:t>₹40.50 Crore</w:t>
            </w:r>
          </w:p>
        </w:tc>
        <w:tc>
          <w:tcPr>
            <w:tcW w:type="dxa" w:w="1662"/>
            <w:shd w:fill="F8FAFC" w:val="clear"/>
            <w:tcMar>
              <w:top w:w="80" w:type="dxa"/>
              <w:bottom w:w="80" w:type="dxa"/>
              <w:left w:w="80" w:type="dxa"/>
              <w:right w:w="80" w:type="dxa"/>
            </w:tcMar>
          </w:tcPr>
          <w:p>
            <w:pPr>
              <w:spacing w:after="0"/>
            </w:pPr>
            <w:r>
              <w:rPr>
                <w:rFonts w:ascii="Segoe UI" w:hAnsi="Segoe UI"/>
                <w:color w:val="1E293B"/>
                <w:sz w:val="17"/>
              </w:rPr>
              <w:t>₹55.90 Crore</w:t>
            </w:r>
          </w:p>
        </w:tc>
        <w:tc>
          <w:tcPr>
            <w:tcW w:type="dxa" w:w="1662"/>
            <w:shd w:fill="F8FAFC" w:val="clear"/>
            <w:tcMar>
              <w:top w:w="80" w:type="dxa"/>
              <w:bottom w:w="80" w:type="dxa"/>
              <w:left w:w="80" w:type="dxa"/>
              <w:right w:w="80" w:type="dxa"/>
            </w:tcMar>
          </w:tcPr>
          <w:p>
            <w:pPr>
              <w:spacing w:after="0"/>
            </w:pPr>
            <w:r>
              <w:rPr>
                <w:rFonts w:ascii="Segoe UI" w:hAnsi="Segoe UI"/>
                <w:color w:val="1E293B"/>
                <w:sz w:val="17"/>
              </w:rPr>
              <w:t>₹94.10 Crore</w:t>
            </w:r>
          </w:p>
        </w:tc>
      </w:tr>
      <w:tr>
        <w:tc>
          <w:tcPr>
            <w:tcW w:type="dxa" w:w="1662"/>
            <w:tcMar>
              <w:top w:w="80" w:type="dxa"/>
              <w:bottom w:w="80" w:type="dxa"/>
              <w:left w:w="80" w:type="dxa"/>
              <w:right w:w="80" w:type="dxa"/>
            </w:tcMar>
          </w:tcPr>
          <w:p>
            <w:pPr>
              <w:spacing w:after="0"/>
            </w:pPr>
            <w:r>
              <w:rPr>
                <w:rFonts w:ascii="Segoe UI" w:hAnsi="Segoe UI"/>
                <w:b/>
                <w:color w:val="0F172A"/>
                <w:sz w:val="17"/>
              </w:rPr>
              <w:t>Operating Expenses</w:t>
            </w:r>
          </w:p>
        </w:tc>
        <w:tc>
          <w:tcPr>
            <w:tcW w:type="dxa" w:w="1662"/>
            <w:tcMar>
              <w:top w:w="80" w:type="dxa"/>
              <w:bottom w:w="80" w:type="dxa"/>
              <w:left w:w="80" w:type="dxa"/>
              <w:right w:w="80" w:type="dxa"/>
            </w:tcMar>
          </w:tcPr>
          <w:p>
            <w:pPr>
              <w:spacing w:after="0"/>
            </w:pPr>
            <w:r>
              <w:rPr>
                <w:rFonts w:ascii="Segoe UI" w:hAnsi="Segoe UI"/>
                <w:color w:val="1E293B"/>
                <w:sz w:val="17"/>
              </w:rPr>
              <w:t>₹1.20 Crore</w:t>
            </w:r>
          </w:p>
        </w:tc>
        <w:tc>
          <w:tcPr>
            <w:tcW w:type="dxa" w:w="1662"/>
            <w:tcMar>
              <w:top w:w="80" w:type="dxa"/>
              <w:bottom w:w="80" w:type="dxa"/>
              <w:left w:w="80" w:type="dxa"/>
              <w:right w:w="80" w:type="dxa"/>
            </w:tcMar>
          </w:tcPr>
          <w:p>
            <w:pPr>
              <w:spacing w:after="0"/>
            </w:pPr>
            <w:r>
              <w:rPr>
                <w:rFonts w:ascii="Segoe UI" w:hAnsi="Segoe UI"/>
                <w:color w:val="1E293B"/>
                <w:sz w:val="17"/>
              </w:rPr>
              <w:t>₹4.75 Crore</w:t>
            </w:r>
          </w:p>
        </w:tc>
        <w:tc>
          <w:tcPr>
            <w:tcW w:type="dxa" w:w="1662"/>
            <w:tcMar>
              <w:top w:w="80" w:type="dxa"/>
              <w:bottom w:w="80" w:type="dxa"/>
              <w:left w:w="80" w:type="dxa"/>
              <w:right w:w="80" w:type="dxa"/>
            </w:tcMar>
          </w:tcPr>
          <w:p>
            <w:pPr>
              <w:spacing w:after="0"/>
            </w:pPr>
            <w:r>
              <w:rPr>
                <w:rFonts w:ascii="Segoe UI" w:hAnsi="Segoe UI"/>
                <w:color w:val="1E293B"/>
                <w:sz w:val="17"/>
              </w:rPr>
              <w:t>₹13.80 Crore</w:t>
            </w:r>
          </w:p>
        </w:tc>
        <w:tc>
          <w:tcPr>
            <w:tcW w:type="dxa" w:w="1662"/>
            <w:tcMar>
              <w:top w:w="80" w:type="dxa"/>
              <w:bottom w:w="80" w:type="dxa"/>
              <w:left w:w="80" w:type="dxa"/>
              <w:right w:w="80" w:type="dxa"/>
            </w:tcMar>
          </w:tcPr>
          <w:p>
            <w:pPr>
              <w:spacing w:after="0"/>
            </w:pPr>
            <w:r>
              <w:rPr>
                <w:rFonts w:ascii="Segoe UI" w:hAnsi="Segoe UI"/>
                <w:color w:val="1E293B"/>
                <w:sz w:val="17"/>
              </w:rPr>
              <w:t>₹25.50 Crore</w:t>
            </w:r>
          </w:p>
        </w:tc>
        <w:tc>
          <w:tcPr>
            <w:tcW w:type="dxa" w:w="1662"/>
            <w:tcMar>
              <w:top w:w="80" w:type="dxa"/>
              <w:bottom w:w="80" w:type="dxa"/>
              <w:left w:w="80" w:type="dxa"/>
              <w:right w:w="80" w:type="dxa"/>
            </w:tcMar>
          </w:tcPr>
          <w:p>
            <w:pPr>
              <w:spacing w:after="0"/>
            </w:pPr>
            <w:r>
              <w:rPr>
                <w:rFonts w:ascii="Segoe UI" w:hAnsi="Segoe UI"/>
                <w:color w:val="1E293B"/>
                <w:sz w:val="17"/>
              </w:rPr>
              <w:t>₹38.75 Crore</w:t>
            </w:r>
          </w:p>
        </w:tc>
      </w:tr>
      <w:tr>
        <w:tc>
          <w:tcPr>
            <w:tcW w:type="dxa" w:w="1662"/>
            <w:shd w:fill="F8FAFC" w:val="clear"/>
            <w:shd w:fill="EFF6FF" w:val="clear"/>
            <w:tcMar>
              <w:top w:w="80" w:type="dxa"/>
              <w:bottom w:w="80" w:type="dxa"/>
              <w:left w:w="80" w:type="dxa"/>
              <w:right w:w="80" w:type="dxa"/>
            </w:tcMar>
          </w:tcPr>
          <w:p>
            <w:pPr>
              <w:spacing w:after="0"/>
            </w:pPr>
            <w:r>
              <w:rPr>
                <w:rFonts w:ascii="Segoe UI" w:hAnsi="Segoe UI"/>
                <w:b/>
                <w:color w:val="0F172A"/>
                <w:sz w:val="17"/>
              </w:rPr>
              <w:t>Net Profit / (Margin)</w:t>
            </w:r>
          </w:p>
        </w:tc>
        <w:tc>
          <w:tcPr>
            <w:tcW w:type="dxa" w:w="1662"/>
            <w:shd w:fill="F8FAFC" w:val="clear"/>
            <w:shd w:fill="EFF6FF" w:val="clear"/>
            <w:tcMar>
              <w:top w:w="80" w:type="dxa"/>
              <w:bottom w:w="80" w:type="dxa"/>
              <w:left w:w="80" w:type="dxa"/>
              <w:right w:w="80" w:type="dxa"/>
            </w:tcMar>
          </w:tcPr>
          <w:p>
            <w:pPr>
              <w:spacing w:after="0"/>
            </w:pPr>
            <w:r>
              <w:rPr>
                <w:rFonts w:ascii="Segoe UI" w:hAnsi="Segoe UI"/>
                <w:b/>
                <w:color w:val="059669"/>
                <w:sz w:val="17"/>
              </w:rPr>
              <w:t>₹48 Lakh (29%)</w:t>
            </w:r>
          </w:p>
        </w:tc>
        <w:tc>
          <w:tcPr>
            <w:tcW w:type="dxa" w:w="1662"/>
            <w:shd w:fill="F8FAFC" w:val="clear"/>
            <w:shd w:fill="EFF6FF" w:val="clear"/>
            <w:tcMar>
              <w:top w:w="80" w:type="dxa"/>
              <w:bottom w:w="80" w:type="dxa"/>
              <w:left w:w="80" w:type="dxa"/>
              <w:right w:w="80" w:type="dxa"/>
            </w:tcMar>
          </w:tcPr>
          <w:p>
            <w:pPr>
              <w:spacing w:after="0"/>
            </w:pPr>
            <w:r>
              <w:rPr>
                <w:rFonts w:ascii="Segoe UI" w:hAnsi="Segoe UI"/>
                <w:b/>
                <w:color w:val="059669"/>
                <w:sz w:val="17"/>
              </w:rPr>
              <w:t>₹4.20 Cr (47%)</w:t>
            </w:r>
          </w:p>
        </w:tc>
        <w:tc>
          <w:tcPr>
            <w:tcW w:type="dxa" w:w="1662"/>
            <w:shd w:fill="F8FAFC" w:val="clear"/>
            <w:shd w:fill="EFF6FF" w:val="clear"/>
            <w:tcMar>
              <w:top w:w="80" w:type="dxa"/>
              <w:bottom w:w="80" w:type="dxa"/>
              <w:left w:w="80" w:type="dxa"/>
              <w:right w:w="80" w:type="dxa"/>
            </w:tcMar>
          </w:tcPr>
          <w:p>
            <w:pPr>
              <w:spacing w:after="0"/>
            </w:pPr>
            <w:r>
              <w:rPr>
                <w:rFonts w:ascii="Segoe UI" w:hAnsi="Segoe UI"/>
                <w:b/>
                <w:color w:val="059669"/>
                <w:sz w:val="17"/>
              </w:rPr>
              <w:t>₹26.70 Cr (66%)</w:t>
            </w:r>
          </w:p>
        </w:tc>
        <w:tc>
          <w:tcPr>
            <w:tcW w:type="dxa" w:w="1662"/>
            <w:shd w:fill="F8FAFC" w:val="clear"/>
            <w:shd w:fill="EFF6FF" w:val="clear"/>
            <w:tcMar>
              <w:top w:w="80" w:type="dxa"/>
              <w:bottom w:w="80" w:type="dxa"/>
              <w:left w:w="80" w:type="dxa"/>
              <w:right w:w="80" w:type="dxa"/>
            </w:tcMar>
          </w:tcPr>
          <w:p>
            <w:pPr>
              <w:spacing w:after="0"/>
            </w:pPr>
            <w:r>
              <w:rPr>
                <w:rFonts w:ascii="Segoe UI" w:hAnsi="Segoe UI"/>
                <w:b/>
                <w:color w:val="059669"/>
                <w:sz w:val="17"/>
              </w:rPr>
              <w:t>₹30.40 Cr (54%)</w:t>
            </w:r>
          </w:p>
        </w:tc>
        <w:tc>
          <w:tcPr>
            <w:tcW w:type="dxa" w:w="1662"/>
            <w:shd w:fill="F8FAFC" w:val="clear"/>
            <w:shd w:fill="EFF6FF" w:val="clear"/>
            <w:tcMar>
              <w:top w:w="80" w:type="dxa"/>
              <w:bottom w:w="80" w:type="dxa"/>
              <w:left w:w="80" w:type="dxa"/>
              <w:right w:w="80" w:type="dxa"/>
            </w:tcMar>
          </w:tcPr>
          <w:p>
            <w:pPr>
              <w:spacing w:after="0"/>
            </w:pPr>
            <w:r>
              <w:rPr>
                <w:rFonts w:ascii="Segoe UI" w:hAnsi="Segoe UI"/>
                <w:b/>
                <w:color w:val="059669"/>
                <w:sz w:val="17"/>
              </w:rPr>
              <w:t>₹55.35 Cr (59%)</w:t>
            </w:r>
          </w:p>
        </w:tc>
      </w:tr>
    </w:tbl>
    <w:p>
      <w:pPr>
        <w:spacing w:after="120" w:before="0" w:line="276" w:lineRule="auto"/>
        <w:jc w:val="left"/>
      </w:pPr>
    </w:p>
    <w:p>
      <w:pPr>
        <w:keepNext/>
        <w:spacing w:before="240" w:after="80"/>
      </w:pPr>
      <w:r>
        <w:rPr>
          <w:rFonts w:ascii="Segoe UI" w:hAnsi="Segoe UI"/>
          <w:b/>
          <w:color w:val="2563EB"/>
          <w:sz w:val="25"/>
        </w:rPr>
        <w:t>The 12 Core Revenue Streams:</w:t>
      </w:r>
    </w:p>
    <w:p>
      <w:pPr>
        <w:pStyle w:val="ListBullet"/>
        <w:spacing w:before="0" w:after="60" w:line="276" w:lineRule="auto"/>
      </w:pPr>
      <w:r>
        <w:rPr>
          <w:rFonts w:ascii="Segoe UI" w:hAnsi="Segoe UI"/>
          <w:b/>
          <w:color w:val="0F172A"/>
          <w:sz w:val="20"/>
        </w:rPr>
        <w:t xml:space="preserve">1. Political Hyperlocal Ads: </w:t>
      </w:r>
      <w:r>
        <w:rPr>
          <w:rFonts w:ascii="Segoe UI" w:hAnsi="Segoe UI"/>
          <w:color w:val="1E293B"/>
          <w:sz w:val="20"/>
        </w:rPr>
        <w:t>Constituency-targeted ad placements for local candidates with zero budget wastage.</w:t>
      </w:r>
    </w:p>
    <w:p>
      <w:pPr>
        <w:pStyle w:val="ListBullet"/>
        <w:spacing w:before="0" w:after="60" w:line="276" w:lineRule="auto"/>
      </w:pPr>
      <w:r>
        <w:rPr>
          <w:rFonts w:ascii="Segoe UI" w:hAnsi="Segoe UI"/>
          <w:b/>
          <w:color w:val="0F172A"/>
          <w:sz w:val="20"/>
        </w:rPr>
        <w:t xml:space="preserve">2. Brand &amp; Government Scheme Ads: </w:t>
      </w:r>
      <w:r>
        <w:rPr>
          <w:rFonts w:ascii="Segoe UI" w:hAnsi="Segoe UI"/>
          <w:color w:val="1E293B"/>
          <w:sz w:val="20"/>
        </w:rPr>
        <w:t>Awareness campaigns for state/central government welfare programs (PM Kisan, Ayushman Bharat).</w:t>
      </w:r>
    </w:p>
    <w:p>
      <w:pPr>
        <w:pStyle w:val="ListBullet"/>
        <w:spacing w:before="0" w:after="60" w:line="276" w:lineRule="auto"/>
      </w:pPr>
      <w:r>
        <w:rPr>
          <w:rFonts w:ascii="Segoe UI" w:hAnsi="Segoe UI"/>
          <w:b/>
          <w:color w:val="0F172A"/>
          <w:sz w:val="20"/>
        </w:rPr>
        <w:t xml:space="preserve">3. B2C Premium Subscriptions: </w:t>
      </w:r>
      <w:r>
        <w:rPr>
          <w:rFonts w:ascii="Segoe UI" w:hAnsi="Segoe UI"/>
          <w:color w:val="1E293B"/>
          <w:sz w:val="20"/>
        </w:rPr>
        <w:t>₹799/yr for power-users, political analysts, and UPSC aspirants (ad-free, deep CSV exports, custom alerts).</w:t>
      </w:r>
    </w:p>
    <w:p>
      <w:pPr>
        <w:pStyle w:val="ListBullet"/>
        <w:spacing w:before="0" w:after="60" w:line="276" w:lineRule="auto"/>
      </w:pPr>
      <w:r>
        <w:rPr>
          <w:rFonts w:ascii="Segoe UI" w:hAnsi="Segoe UI"/>
          <w:b/>
          <w:color w:val="0F172A"/>
          <w:sz w:val="20"/>
        </w:rPr>
        <w:t xml:space="preserve">4. B2B Media Licensing: </w:t>
      </w:r>
      <w:r>
        <w:rPr>
          <w:rFonts w:ascii="Segoe UI" w:hAnsi="Segoe UI"/>
          <w:color w:val="1E293B"/>
          <w:sz w:val="20"/>
        </w:rPr>
        <w:t>Annual API and interactive widget licenses for major news channels and digital dailies (₹10L-₹50L/client).</w:t>
      </w:r>
    </w:p>
    <w:p>
      <w:pPr>
        <w:pStyle w:val="ListBullet"/>
        <w:spacing w:before="0" w:after="60" w:line="276" w:lineRule="auto"/>
      </w:pPr>
      <w:r>
        <w:rPr>
          <w:rFonts w:ascii="Segoe UI" w:hAnsi="Segoe UI"/>
          <w:b/>
          <w:color w:val="0F172A"/>
          <w:sz w:val="20"/>
        </w:rPr>
        <w:t xml:space="preserve">5. Campaign War Room SaaS: </w:t>
      </w:r>
      <w:r>
        <w:rPr>
          <w:rFonts w:ascii="Segoe UI" w:hAnsi="Segoe UI"/>
          <w:color w:val="1E293B"/>
          <w:sz w:val="20"/>
        </w:rPr>
        <w:t>Constituency swing modeling, vulnerability analysis, and ground intelligence dashboards for political parties.</w:t>
      </w:r>
    </w:p>
    <w:p>
      <w:pPr>
        <w:pStyle w:val="ListBullet"/>
        <w:spacing w:before="0" w:after="60" w:line="276" w:lineRule="auto"/>
      </w:pPr>
      <w:r>
        <w:rPr>
          <w:rFonts w:ascii="Segoe UI" w:hAnsi="Segoe UI"/>
          <w:b/>
          <w:color w:val="0F172A"/>
          <w:sz w:val="20"/>
        </w:rPr>
        <w:t xml:space="preserve">6. Structured Data API: </w:t>
      </w:r>
      <w:r>
        <w:rPr>
          <w:rFonts w:ascii="Segoe UI" w:hAnsi="Segoe UI"/>
          <w:color w:val="1E293B"/>
          <w:sz w:val="20"/>
        </w:rPr>
        <w:t>Tiered developer &amp; research access for academic institutions, think tanks, and polling firms.</w:t>
      </w:r>
    </w:p>
    <w:p>
      <w:pPr>
        <w:pStyle w:val="ListBullet"/>
        <w:spacing w:before="0" w:after="60" w:line="276" w:lineRule="auto"/>
      </w:pPr>
      <w:r>
        <w:rPr>
          <w:rFonts w:ascii="Segoe UI" w:hAnsi="Segoe UI"/>
          <w:b/>
          <w:color w:val="0F172A"/>
          <w:sz w:val="20"/>
        </w:rPr>
        <w:t xml:space="preserve">7. Civic Leadership Academy: </w:t>
      </w:r>
      <w:r>
        <w:rPr>
          <w:rFonts w:ascii="Segoe UI" w:hAnsi="Segoe UI"/>
          <w:color w:val="1E293B"/>
          <w:sz w:val="20"/>
        </w:rPr>
        <w:t>Certified cohort courses for aspiring politicians, campaign managers, and grassroots leaders.</w:t>
      </w:r>
    </w:p>
    <w:p>
      <w:pPr>
        <w:pStyle w:val="ListBullet"/>
        <w:spacing w:before="0" w:after="60" w:line="276" w:lineRule="auto"/>
      </w:pPr>
      <w:r>
        <w:rPr>
          <w:rFonts w:ascii="Segoe UI" w:hAnsi="Segoe UI"/>
          <w:b/>
          <w:color w:val="0F172A"/>
          <w:sz w:val="20"/>
        </w:rPr>
        <w:t xml:space="preserve">8. Events &amp; Live Forecasts: </w:t>
      </w:r>
      <w:r>
        <w:rPr>
          <w:rFonts w:ascii="Segoe UI" w:hAnsi="Segoe UI"/>
          <w:color w:val="1E293B"/>
          <w:sz w:val="20"/>
        </w:rPr>
        <w:t>Ticketed pre-election debates, webinars, and annual 'State of Indian Democracy' conferences.</w:t>
      </w:r>
    </w:p>
    <w:p>
      <w:pPr>
        <w:pStyle w:val="ListBullet"/>
        <w:spacing w:before="0" w:after="60" w:line="276" w:lineRule="auto"/>
      </w:pPr>
      <w:r>
        <w:rPr>
          <w:rFonts w:ascii="Segoe UI" w:hAnsi="Segoe UI"/>
          <w:b/>
          <w:color w:val="0F172A"/>
          <w:sz w:val="20"/>
        </w:rPr>
        <w:t xml:space="preserve">9. White-Label International Exports: </w:t>
      </w:r>
      <w:r>
        <w:rPr>
          <w:rFonts w:ascii="Segoe UI" w:hAnsi="Segoe UI"/>
          <w:color w:val="1E293B"/>
          <w:sz w:val="20"/>
        </w:rPr>
        <w:t>Deploying the platform architecture for other emerging democracies (Bangladesh, Sri Lanka, Nepal).</w:t>
      </w:r>
    </w:p>
    <w:p>
      <w:pPr>
        <w:pStyle w:val="ListBullet"/>
        <w:spacing w:before="0" w:after="60" w:line="276" w:lineRule="auto"/>
      </w:pPr>
      <w:r>
        <w:rPr>
          <w:rFonts w:ascii="Segoe UI" w:hAnsi="Segoe UI"/>
          <w:b/>
          <w:color w:val="0F172A"/>
          <w:sz w:val="20"/>
        </w:rPr>
        <w:t xml:space="preserve">10. Sponsored Content &amp; MLA Spotlights: </w:t>
      </w:r>
      <w:r>
        <w:rPr>
          <w:rFonts w:ascii="Segoe UI" w:hAnsi="Segoe UI"/>
          <w:color w:val="1E293B"/>
          <w:sz w:val="20"/>
        </w:rPr>
        <w:t>Verified native profiles and manifesto deep-dives.</w:t>
      </w:r>
    </w:p>
    <w:p>
      <w:pPr>
        <w:pStyle w:val="ListBullet"/>
        <w:spacing w:before="0" w:after="60" w:line="276" w:lineRule="auto"/>
      </w:pPr>
      <w:r>
        <w:rPr>
          <w:rFonts w:ascii="Segoe UI" w:hAnsi="Segoe UI"/>
          <w:b/>
          <w:color w:val="0F172A"/>
          <w:sz w:val="20"/>
        </w:rPr>
        <w:t xml:space="preserve">11. Affiliate &amp; Civic Transactions: </w:t>
      </w:r>
      <w:r>
        <w:rPr>
          <w:rFonts w:ascii="Segoe UI" w:hAnsi="Segoe UI"/>
          <w:color w:val="1E293B"/>
          <w:sz w:val="20"/>
        </w:rPr>
        <w:t>Facilitation fees for RTI filings, voter ID assistance, and civic legal PIL referrals.</w:t>
      </w:r>
    </w:p>
    <w:p>
      <w:pPr>
        <w:pStyle w:val="ListBullet"/>
        <w:spacing w:before="0" w:after="60" w:line="276" w:lineRule="auto"/>
      </w:pPr>
      <w:r>
        <w:rPr>
          <w:rFonts w:ascii="Segoe UI" w:hAnsi="Segoe UI"/>
          <w:b/>
          <w:color w:val="0F172A"/>
          <w:sz w:val="20"/>
        </w:rPr>
        <w:t xml:space="preserve">12. Delimitation Impact Advisory: </w:t>
      </w:r>
      <w:r>
        <w:rPr>
          <w:rFonts w:ascii="Segoe UI" w:hAnsi="Segoe UI"/>
          <w:color w:val="1E293B"/>
          <w:sz w:val="20"/>
        </w:rPr>
        <w:t>High-ticket strategic advisory reports for political parties facing boundary shifts (₹25L-₹50L per state).</w:t>
      </w:r>
    </w:p>
    <w:p>
      <w:pPr>
        <w:keepNext/>
        <w:spacing w:before="320" w:after="120"/>
      </w:pPr>
      <w:r>
        <w:rPr>
          <w:rFonts w:ascii="Segoe UI" w:hAnsi="Segoe UI"/>
          <w:b/>
          <w:color w:val="1E3A8A"/>
          <w:sz w:val="30"/>
        </w:rPr>
        <w:t>7. Codebase Launch Readiness &amp; Engineering Roadmap</w:t>
      </w:r>
    </w:p>
    <w:p>
      <w:pPr>
        <w:spacing w:after="120" w:before="0" w:line="276" w:lineRule="auto"/>
        <w:jc w:val="left"/>
      </w:pPr>
      <w:r>
        <w:rPr>
          <w:rFonts w:ascii="Segoe UI" w:hAnsi="Segoe UI"/>
          <w:b w:val="0"/>
          <w:i w:val="0"/>
          <w:color w:val="1E293B"/>
          <w:sz w:val="21"/>
        </w:rPr>
        <w:t>An honest engineering audit reveals that Kshetra is far beyond a simple prototype. It is an advanced beta / pre-production platform that requires focused integration and hardening rather than architectural rewrites: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24"/>
        <w:gridCol w:w="3324"/>
        <w:gridCol w:w="3324"/>
      </w:tblGrid>
      <w:tr>
        <w:tc>
          <w:tcPr>
            <w:tcW w:type="dxa" w:w="3324"/>
            <w:shd w:fill="0F172A" w:val="clear"/>
            <w:tcMar>
              <w:top w:w="100" w:type="dxa"/>
              <w:bottom w:w="100" w:type="dxa"/>
              <w:left w:w="100" w:type="dxa"/>
              <w:right w:w="100" w:type="dxa"/>
            </w:tcMar>
          </w:tcPr>
          <w:p>
            <w:pPr>
              <w:spacing w:after="0"/>
            </w:pPr>
            <w:r>
              <w:rPr>
                <w:rFonts w:ascii="Segoe UI" w:hAnsi="Segoe UI"/>
                <w:b/>
                <w:color w:val="FFFFFF"/>
                <w:sz w:val="18"/>
              </w:rPr>
              <w:t>Subsystem / Component</w:t>
            </w:r>
          </w:p>
        </w:tc>
        <w:tc>
          <w:tcPr>
            <w:tcW w:type="dxa" w:w="3324"/>
            <w:shd w:fill="0F172A" w:val="clear"/>
            <w:tcMar>
              <w:top w:w="100" w:type="dxa"/>
              <w:bottom w:w="100" w:type="dxa"/>
              <w:left w:w="100" w:type="dxa"/>
              <w:right w:w="100" w:type="dxa"/>
            </w:tcMar>
          </w:tcPr>
          <w:p>
            <w:pPr>
              <w:spacing w:after="0"/>
            </w:pPr>
            <w:r>
              <w:rPr>
                <w:rFonts w:ascii="Segoe UI" w:hAnsi="Segoe UI"/>
                <w:b/>
                <w:color w:val="FFFFFF"/>
                <w:sz w:val="18"/>
              </w:rPr>
              <w:t>Current Production Readiness</w:t>
            </w:r>
          </w:p>
        </w:tc>
        <w:tc>
          <w:tcPr>
            <w:tcW w:type="dxa" w:w="3324"/>
            <w:shd w:fill="0F172A" w:val="clear"/>
            <w:tcMar>
              <w:top w:w="100" w:type="dxa"/>
              <w:bottom w:w="100" w:type="dxa"/>
              <w:left w:w="100" w:type="dxa"/>
              <w:right w:w="100" w:type="dxa"/>
            </w:tcMar>
          </w:tcPr>
          <w:p>
            <w:pPr>
              <w:spacing w:after="0"/>
            </w:pPr>
            <w:r>
              <w:rPr>
                <w:rFonts w:ascii="Segoe UI" w:hAnsi="Segoe UI"/>
                <w:b/>
                <w:color w:val="FFFFFF"/>
                <w:sz w:val="18"/>
              </w:rPr>
              <w:t>Remaining Action Items for Launch</w:t>
            </w:r>
          </w:p>
        </w:tc>
      </w:tr>
      <w:tr>
        <w:tc>
          <w:tcPr>
            <w:tcW w:type="dxa" w:w="2592"/>
            <w:shd w:fill="F8FAFC" w:val="clear"/>
            <w:tcMar>
              <w:top w:w="80" w:type="dxa"/>
              <w:bottom w:w="80" w:type="dxa"/>
              <w:left w:w="80" w:type="dxa"/>
              <w:right w:w="80" w:type="dxa"/>
            </w:tcMar>
          </w:tcPr>
          <w:p>
            <w:pPr>
              <w:spacing w:after="0"/>
            </w:pPr>
            <w:r>
              <w:rPr>
                <w:rFonts w:ascii="Segoe UI" w:hAnsi="Segoe UI"/>
                <w:b/>
                <w:color w:val="1E3A8A"/>
                <w:sz w:val="17"/>
              </w:rPr>
              <w:t>Mobile App (React Native)</w:t>
            </w:r>
          </w:p>
        </w:tc>
        <w:tc>
          <w:tcPr>
            <w:tcW w:type="dxa" w:w="2880"/>
            <w:shd w:fill="F8FAFC" w:val="clear"/>
            <w:tcMar>
              <w:top w:w="80" w:type="dxa"/>
              <w:bottom w:w="80" w:type="dxa"/>
              <w:left w:w="80" w:type="dxa"/>
              <w:right w:w="80" w:type="dxa"/>
            </w:tcMar>
          </w:tcPr>
          <w:p>
            <w:pPr>
              <w:spacing w:after="0"/>
            </w:pPr>
            <w:r>
              <w:rPr>
                <w:rFonts w:ascii="Segoe UI" w:hAnsi="Segoe UI"/>
                <w:b/>
                <w:color w:val="059669"/>
                <w:sz w:val="17"/>
              </w:rPr>
              <w:t>95% Production Ready</w:t>
            </w:r>
          </w:p>
        </w:tc>
        <w:tc>
          <w:tcPr>
            <w:tcW w:type="dxa" w:w="4320"/>
            <w:shd w:fill="F8FAFC" w:val="clear"/>
            <w:tcMar>
              <w:top w:w="80" w:type="dxa"/>
              <w:bottom w:w="80" w:type="dxa"/>
              <w:left w:w="80" w:type="dxa"/>
              <w:right w:w="80" w:type="dxa"/>
            </w:tcMar>
          </w:tcPr>
          <w:p>
            <w:pPr>
              <w:spacing w:after="0"/>
            </w:pPr>
            <w:r>
              <w:rPr>
                <w:rFonts w:ascii="Segoe UI" w:hAnsi="Segoe UI"/>
                <w:color w:val="1E293B"/>
                <w:sz w:val="17"/>
              </w:rPr>
              <w:t>Bundle size optimization, Hermes bytecode compilation audit, final Play Store asset check.</w:t>
            </w:r>
          </w:p>
        </w:tc>
      </w:tr>
      <w:tr>
        <w:tc>
          <w:tcPr>
            <w:tcW w:type="dxa" w:w="2592"/>
            <w:tcMar>
              <w:top w:w="80" w:type="dxa"/>
              <w:bottom w:w="80" w:type="dxa"/>
              <w:left w:w="80" w:type="dxa"/>
              <w:right w:w="80" w:type="dxa"/>
            </w:tcMar>
          </w:tcPr>
          <w:p>
            <w:pPr>
              <w:spacing w:after="0"/>
            </w:pPr>
            <w:r>
              <w:rPr>
                <w:rFonts w:ascii="Segoe UI" w:hAnsi="Segoe UI"/>
                <w:b/>
                <w:color w:val="1E3A8A"/>
                <w:sz w:val="17"/>
              </w:rPr>
              <w:t>Vector Mapping Engine</w:t>
            </w:r>
          </w:p>
        </w:tc>
        <w:tc>
          <w:tcPr>
            <w:tcW w:type="dxa" w:w="2880"/>
            <w:tcMar>
              <w:top w:w="80" w:type="dxa"/>
              <w:bottom w:w="80" w:type="dxa"/>
              <w:left w:w="80" w:type="dxa"/>
              <w:right w:w="80" w:type="dxa"/>
            </w:tcMar>
          </w:tcPr>
          <w:p>
            <w:pPr>
              <w:spacing w:after="0"/>
            </w:pPr>
            <w:r>
              <w:rPr>
                <w:rFonts w:ascii="Segoe UI" w:hAnsi="Segoe UI"/>
                <w:b/>
                <w:color w:val="059669"/>
                <w:sz w:val="17"/>
              </w:rPr>
              <w:t>100% Production Ready</w:t>
            </w:r>
          </w:p>
        </w:tc>
        <w:tc>
          <w:tcPr>
            <w:tcW w:type="dxa" w:w="4320"/>
            <w:tcMar>
              <w:top w:w="80" w:type="dxa"/>
              <w:bottom w:w="80" w:type="dxa"/>
              <w:left w:w="80" w:type="dxa"/>
              <w:right w:w="80" w:type="dxa"/>
            </w:tcMar>
          </w:tcPr>
          <w:p>
            <w:pPr>
              <w:spacing w:after="0"/>
            </w:pPr>
            <w:r>
              <w:rPr>
                <w:rFonts w:ascii="Segoe UI" w:hAnsi="Segoe UI"/>
                <w:color w:val="1E293B"/>
                <w:sz w:val="17"/>
              </w:rPr>
              <w:t>22 state GeoJSONs validated; MapLibre shims operational with smooth multi-polygon rendering.</w:t>
            </w:r>
          </w:p>
        </w:tc>
      </w:tr>
      <w:tr>
        <w:tc>
          <w:tcPr>
            <w:tcW w:type="dxa" w:w="2592"/>
            <w:shd w:fill="F8FAFC" w:val="clear"/>
            <w:tcMar>
              <w:top w:w="80" w:type="dxa"/>
              <w:bottom w:w="80" w:type="dxa"/>
              <w:left w:w="80" w:type="dxa"/>
              <w:right w:w="80" w:type="dxa"/>
            </w:tcMar>
          </w:tcPr>
          <w:p>
            <w:pPr>
              <w:spacing w:after="0"/>
            </w:pPr>
            <w:r>
              <w:rPr>
                <w:rFonts w:ascii="Segoe UI" w:hAnsi="Segoe UI"/>
                <w:b/>
                <w:color w:val="1E3A8A"/>
                <w:sz w:val="17"/>
              </w:rPr>
              <w:t>Lok Sabha Parliament Layer</w:t>
            </w:r>
          </w:p>
        </w:tc>
        <w:tc>
          <w:tcPr>
            <w:tcW w:type="dxa" w:w="2880"/>
            <w:shd w:fill="F8FAFC" w:val="clear"/>
            <w:tcMar>
              <w:top w:w="80" w:type="dxa"/>
              <w:bottom w:w="80" w:type="dxa"/>
              <w:left w:w="80" w:type="dxa"/>
              <w:right w:w="80" w:type="dxa"/>
            </w:tcMar>
          </w:tcPr>
          <w:p>
            <w:pPr>
              <w:spacing w:after="0"/>
            </w:pPr>
            <w:r>
              <w:rPr>
                <w:rFonts w:ascii="Segoe UI" w:hAnsi="Segoe UI"/>
                <w:b/>
                <w:color w:val="059669"/>
                <w:sz w:val="17"/>
              </w:rPr>
              <w:t>100% Production Ready</w:t>
            </w:r>
          </w:p>
        </w:tc>
        <w:tc>
          <w:tcPr>
            <w:tcW w:type="dxa" w:w="4320"/>
            <w:shd w:fill="F8FAFC" w:val="clear"/>
            <w:tcMar>
              <w:top w:w="80" w:type="dxa"/>
              <w:bottom w:w="80" w:type="dxa"/>
              <w:left w:w="80" w:type="dxa"/>
              <w:right w:w="80" w:type="dxa"/>
            </w:tcMar>
          </w:tcPr>
          <w:p>
            <w:pPr>
              <w:spacing w:after="0"/>
            </w:pPr>
            <w:r>
              <w:rPr>
                <w:rFonts w:ascii="Segoe UI" w:hAnsi="Segoe UI"/>
                <w:color w:val="1E293B"/>
                <w:sz w:val="17"/>
              </w:rPr>
              <w:t>543/543 MPs seeded with verified state codes, parties, and photo endpoints.</w:t>
            </w:r>
          </w:p>
        </w:tc>
      </w:tr>
      <w:tr>
        <w:tc>
          <w:tcPr>
            <w:tcW w:type="dxa" w:w="2592"/>
            <w:tcMar>
              <w:top w:w="80" w:type="dxa"/>
              <w:bottom w:w="80" w:type="dxa"/>
              <w:left w:w="80" w:type="dxa"/>
              <w:right w:w="80" w:type="dxa"/>
            </w:tcMar>
          </w:tcPr>
          <w:p>
            <w:pPr>
              <w:spacing w:after="0"/>
            </w:pPr>
            <w:r>
              <w:rPr>
                <w:rFonts w:ascii="Segoe UI" w:hAnsi="Segoe UI"/>
                <w:b/>
                <w:color w:val="1E3A8A"/>
                <w:sz w:val="17"/>
              </w:rPr>
              <w:t>State Assembly Datasets</w:t>
            </w:r>
          </w:p>
        </w:tc>
        <w:tc>
          <w:tcPr>
            <w:tcW w:type="dxa" w:w="2880"/>
            <w:tcMar>
              <w:top w:w="80" w:type="dxa"/>
              <w:bottom w:w="80" w:type="dxa"/>
              <w:left w:w="80" w:type="dxa"/>
              <w:right w:w="80" w:type="dxa"/>
            </w:tcMar>
          </w:tcPr>
          <w:p>
            <w:pPr>
              <w:spacing w:after="0"/>
            </w:pPr>
            <w:r>
              <w:rPr>
                <w:rFonts w:ascii="Segoe UI" w:hAnsi="Segoe UI"/>
                <w:b/>
                <w:color w:val="059669"/>
                <w:sz w:val="17"/>
              </w:rPr>
              <w:t>85% Production Ready</w:t>
            </w:r>
          </w:p>
        </w:tc>
        <w:tc>
          <w:tcPr>
            <w:tcW w:type="dxa" w:w="4320"/>
            <w:tcMar>
              <w:top w:w="80" w:type="dxa"/>
              <w:bottom w:w="80" w:type="dxa"/>
              <w:left w:w="80" w:type="dxa"/>
              <w:right w:w="80" w:type="dxa"/>
            </w:tcMar>
          </w:tcPr>
          <w:p>
            <w:pPr>
              <w:spacing w:after="0"/>
            </w:pPr>
            <w:r>
              <w:rPr>
                <w:rFonts w:ascii="Segoe UI" w:hAnsi="Segoe UI"/>
                <w:color w:val="1E293B"/>
                <w:sz w:val="17"/>
              </w:rPr>
              <w:t>TS &amp; AP (100%), KA &amp; MH (95%). Connect UP, WB, TN, KL seeds to stateDataAdapter.ts.</w:t>
            </w:r>
          </w:p>
        </w:tc>
      </w:tr>
      <w:tr>
        <w:tc>
          <w:tcPr>
            <w:tcW w:type="dxa" w:w="2592"/>
            <w:shd w:fill="F8FAFC" w:val="clear"/>
            <w:tcMar>
              <w:top w:w="80" w:type="dxa"/>
              <w:bottom w:w="80" w:type="dxa"/>
              <w:left w:w="80" w:type="dxa"/>
              <w:right w:w="80" w:type="dxa"/>
            </w:tcMar>
          </w:tcPr>
          <w:p>
            <w:pPr>
              <w:spacing w:after="0"/>
            </w:pPr>
            <w:r>
              <w:rPr>
                <w:rFonts w:ascii="Segoe UI" w:hAnsi="Segoe UI"/>
                <w:b/>
                <w:color w:val="1E3A8A"/>
                <w:sz w:val="17"/>
              </w:rPr>
              <w:t>Supabase Backend &amp; Migrations</w:t>
            </w:r>
          </w:p>
        </w:tc>
        <w:tc>
          <w:tcPr>
            <w:tcW w:type="dxa" w:w="2880"/>
            <w:shd w:fill="F8FAFC" w:val="clear"/>
            <w:tcMar>
              <w:top w:w="80" w:type="dxa"/>
              <w:bottom w:w="80" w:type="dxa"/>
              <w:left w:w="80" w:type="dxa"/>
              <w:right w:w="80" w:type="dxa"/>
            </w:tcMar>
          </w:tcPr>
          <w:p>
            <w:pPr>
              <w:spacing w:after="0"/>
            </w:pPr>
            <w:r>
              <w:rPr>
                <w:rFonts w:ascii="Segoe UI" w:hAnsi="Segoe UI"/>
                <w:b/>
                <w:color w:val="059669"/>
                <w:sz w:val="17"/>
              </w:rPr>
              <w:t>90% Production Ready</w:t>
            </w:r>
          </w:p>
        </w:tc>
        <w:tc>
          <w:tcPr>
            <w:tcW w:type="dxa" w:w="4320"/>
            <w:shd w:fill="F8FAFC" w:val="clear"/>
            <w:tcMar>
              <w:top w:w="80" w:type="dxa"/>
              <w:bottom w:w="80" w:type="dxa"/>
              <w:left w:w="80" w:type="dxa"/>
              <w:right w:w="80" w:type="dxa"/>
            </w:tcMar>
          </w:tcPr>
          <w:p>
            <w:pPr>
              <w:spacing w:after="0"/>
            </w:pPr>
            <w:r>
              <w:rPr>
                <w:rFonts w:ascii="Segoe UI" w:hAnsi="Segoe UI"/>
                <w:color w:val="1E293B"/>
                <w:sz w:val="17"/>
              </w:rPr>
              <w:t>26 migration scripts complete. Connect live Twilio/MSG91 SMS gateway for live OTP auth.</w:t>
            </w:r>
          </w:p>
        </w:tc>
      </w:tr>
    </w:tbl>
    <w:p>
      <w:pPr>
        <w:spacing w:after="160" w:before="0" w:line="276" w:lineRule="auto"/>
        <w:jc w:val="left"/>
      </w:pPr>
    </w:p>
    <w:p>
      <w:pPr>
        <w:keepNext/>
        <w:spacing w:before="240" w:after="80"/>
      </w:pPr>
      <w:r>
        <w:rPr>
          <w:rFonts w:ascii="Segoe UI" w:hAnsi="Segoe UI"/>
          <w:b/>
          <w:color w:val="2563EB"/>
          <w:sz w:val="25"/>
        </w:rPr>
        <w:t>Immediate 60-Day Engineering Sprint Plan for Incoming Tech Lead / Co-Founder:</w:t>
      </w:r>
    </w:p>
    <w:p>
      <w:pPr>
        <w:pStyle w:val="ListBullet"/>
        <w:spacing w:before="0" w:after="60" w:line="276" w:lineRule="auto"/>
      </w:pPr>
      <w:r>
        <w:rPr>
          <w:rFonts w:ascii="Segoe UI" w:hAnsi="Segoe UI"/>
          <w:b/>
          <w:color w:val="0F172A"/>
          <w:sz w:val="20"/>
        </w:rPr>
        <w:t xml:space="preserve">Sprint 1 (Days 1-15) — State Seed Wiring &amp; Packaging: </w:t>
      </w:r>
      <w:r>
        <w:rPr>
          <w:rFonts w:ascii="Segoe UI" w:hAnsi="Segoe UI"/>
          <w:color w:val="1E293B"/>
          <w:sz w:val="20"/>
        </w:rPr>
        <w:t>Wire pre-seeded UP, WB, TN, and KL datasets into `stateDataAdapter.ts`. Compress local GeoJSON boundary files to optimize initial app download size.</w:t>
      </w:r>
    </w:p>
    <w:p>
      <w:pPr>
        <w:pStyle w:val="ListBullet"/>
        <w:spacing w:before="0" w:after="60" w:line="276" w:lineRule="auto"/>
      </w:pPr>
      <w:r>
        <w:rPr>
          <w:rFonts w:ascii="Segoe UI" w:hAnsi="Segoe UI"/>
          <w:b/>
          <w:color w:val="0F172A"/>
          <w:sz w:val="20"/>
        </w:rPr>
        <w:t xml:space="preserve">Sprint 2 (Days 16-30) — Auth &amp; SMS Verification: </w:t>
      </w:r>
      <w:r>
        <w:rPr>
          <w:rFonts w:ascii="Segoe UI" w:hAnsi="Segoe UI"/>
          <w:color w:val="1E293B"/>
          <w:sz w:val="20"/>
        </w:rPr>
        <w:t>Integrate production SMS gateway (Twilio / MSG91) into the phone login and Content Creator Accountability KYC flow.</w:t>
      </w:r>
    </w:p>
    <w:p>
      <w:pPr>
        <w:pStyle w:val="ListBullet"/>
        <w:spacing w:before="0" w:after="60" w:line="276" w:lineRule="auto"/>
      </w:pPr>
      <w:r>
        <w:rPr>
          <w:rFonts w:ascii="Segoe UI" w:hAnsi="Segoe UI"/>
          <w:b/>
          <w:color w:val="0F172A"/>
          <w:sz w:val="20"/>
        </w:rPr>
        <w:t xml:space="preserve">Sprint 3 (Days 31-45) — B2B Newsroom Embed Wrapper: </w:t>
      </w:r>
      <w:r>
        <w:rPr>
          <w:rFonts w:ascii="Segoe UI" w:hAnsi="Segoe UI"/>
          <w:color w:val="1E293B"/>
          <w:sz w:val="20"/>
        </w:rPr>
        <w:t>Package the interactive constituency map as an iframe-embeddable Next.js micro-app for immediate deployment with media partners (e.g. ETV/Eenadu).</w:t>
      </w:r>
    </w:p>
    <w:p>
      <w:pPr>
        <w:pStyle w:val="ListBullet"/>
        <w:spacing w:before="0" w:after="60" w:line="276" w:lineRule="auto"/>
      </w:pPr>
      <w:r>
        <w:rPr>
          <w:rFonts w:ascii="Segoe UI" w:hAnsi="Segoe UI"/>
          <w:b/>
          <w:color w:val="0F172A"/>
          <w:sz w:val="20"/>
        </w:rPr>
        <w:t xml:space="preserve">Sprint 4 (Days 46-60) — Play Store Release &amp; Observability: </w:t>
      </w:r>
      <w:r>
        <w:rPr>
          <w:rFonts w:ascii="Segoe UI" w:hAnsi="Segoe UI"/>
          <w:color w:val="1E293B"/>
          <w:sz w:val="20"/>
        </w:rPr>
        <w:t>Execute EAS production Android build, configure Sentry error telemetry and PostHog analytics, and submit APK/AAB to Google Play Console.</w:t>
      </w:r>
    </w:p>
    <w:p>
      <w:pPr>
        <w:keepNext/>
        <w:spacing w:before="320" w:after="120"/>
      </w:pPr>
      <w:r>
        <w:rPr>
          <w:rFonts w:ascii="Segoe UI" w:hAnsi="Segoe UI"/>
          <w:b/>
          <w:color w:val="1E3A8A"/>
          <w:sz w:val="30"/>
        </w:rPr>
        <w:t>8. Why Join the Team: The Technical Co-Founder Opportunity</w:t>
      </w:r>
    </w:p>
    <w:p>
      <w:pPr>
        <w:spacing w:after="120" w:before="0" w:line="276" w:lineRule="auto"/>
        <w:jc w:val="left"/>
      </w:pPr>
      <w:r>
        <w:rPr>
          <w:rFonts w:ascii="Segoe UI" w:hAnsi="Segoe UI"/>
          <w:b w:val="0"/>
          <w:i w:val="0"/>
          <w:color w:val="1E293B"/>
          <w:sz w:val="21"/>
        </w:rPr>
        <w:t>Kshetra is not an early-stage whiteboard sketch. Over a year of meticulous domain modeling, scraper development, vector mapping, and UI design has already been invested. As an incoming Software Engineer / Technical Co-Founder, you will inherit:</w:t>
      </w:r>
    </w:p>
    <w:p>
      <w:pPr>
        <w:pStyle w:val="ListBullet"/>
        <w:spacing w:before="0" w:after="60" w:line="276" w:lineRule="auto"/>
      </w:pPr>
      <w:r>
        <w:rPr>
          <w:rFonts w:ascii="Segoe UI" w:hAnsi="Segoe UI"/>
          <w:b/>
          <w:color w:val="0F172A"/>
          <w:sz w:val="20"/>
        </w:rPr>
        <w:t xml:space="preserve">A Fully Working, 0-Error Codebase: </w:t>
      </w:r>
      <w:r>
        <w:rPr>
          <w:rFonts w:ascii="Segoe UI" w:hAnsi="Segoe UI"/>
          <w:color w:val="1E293B"/>
          <w:sz w:val="20"/>
        </w:rPr>
        <w:t>No messy legacy spaghetti. Clean Turborepo structure, modern React Native 0.81 with Expo 54, Supabase PostgreSQL, and comprehensive TypeScript contracts.</w:t>
      </w:r>
    </w:p>
    <w:p>
      <w:pPr>
        <w:pStyle w:val="ListBullet"/>
        <w:spacing w:before="0" w:after="60" w:line="276" w:lineRule="auto"/>
      </w:pPr>
      <w:r>
        <w:rPr>
          <w:rFonts w:ascii="Segoe UI" w:hAnsi="Segoe UI"/>
          <w:b/>
          <w:color w:val="0F172A"/>
          <w:sz w:val="20"/>
        </w:rPr>
        <w:t xml:space="preserve">Significant Equity &amp; True Ownership: </w:t>
      </w:r>
      <w:r>
        <w:rPr>
          <w:rFonts w:ascii="Segoe UI" w:hAnsi="Segoe UI"/>
          <w:color w:val="1E293B"/>
          <w:sz w:val="20"/>
        </w:rPr>
        <w:t>Meaningful co-founder equity stake and complete architectural autonomy over technical decision-making, infrastructure, and engineering hiring.</w:t>
      </w:r>
    </w:p>
    <w:p>
      <w:pPr>
        <w:pStyle w:val="ListBullet"/>
        <w:spacing w:before="0" w:after="60" w:line="276" w:lineRule="auto"/>
      </w:pPr>
      <w:r>
        <w:rPr>
          <w:rFonts w:ascii="Segoe UI" w:hAnsi="Segoe UI"/>
          <w:b/>
          <w:color w:val="0F172A"/>
          <w:sz w:val="20"/>
        </w:rPr>
        <w:t xml:space="preserve">Rare Domain Intersection: </w:t>
      </w:r>
      <w:r>
        <w:rPr>
          <w:rFonts w:ascii="Segoe UI" w:hAnsi="Segoe UI"/>
          <w:color w:val="1E293B"/>
          <w:sz w:val="20"/>
        </w:rPr>
        <w:t>The chance to build complex distributed systems, spatial vector mapping engines, real-time election streaming, and LLM-powered political intelligence for 1.4 billion citizens.</w:t>
      </w:r>
    </w:p>
    <w:p>
      <w:pPr>
        <w:pStyle w:val="ListBullet"/>
        <w:spacing w:before="0" w:after="60" w:line="276" w:lineRule="auto"/>
      </w:pPr>
      <w:r>
        <w:rPr>
          <w:rFonts w:ascii="Segoe UI" w:hAnsi="Segoe UI"/>
          <w:b/>
          <w:color w:val="0F172A"/>
          <w:sz w:val="20"/>
        </w:rPr>
        <w:t xml:space="preserve">Immediate Market Tailwinds: </w:t>
      </w:r>
      <w:r>
        <w:rPr>
          <w:rFonts w:ascii="Segoe UI" w:hAnsi="Segoe UI"/>
          <w:color w:val="1E293B"/>
          <w:sz w:val="20"/>
        </w:rPr>
        <w:t>Active outreach with major media conglomerates (Eenadu/ETV Network), ready-to-pitch investor deck, and an unprecedented once-in-50-years delimitation market catalyst.</w:t>
      </w:r>
    </w:p>
    <w:tbl>
      <w:tblPr>
        <w:tblW w:type="auto" w:w="0"/>
        <w:jc w:val="center"/>
        <w:tblLayout w:type="fixed"/>
        <w:tblLook w:firstColumn="1" w:firstRow="1" w:lastColumn="0" w:lastRow="0" w:noHBand="0" w:noVBand="1" w:val="04A0"/>
      </w:tblPr>
      <w:tblGrid>
        <w:gridCol w:w="9972"/>
      </w:tblGrid>
      <w:tr>
        <w:tc>
          <w:tcPr>
            <w:tcW w:type="dxa" w:w="9792"/>
            <w:shd w:fill="ECFDF5" w:val="clear"/>
            <w:tcMar>
              <w:top w:w="140" w:type="dxa"/>
              <w:bottom w:w="140" w:type="dxa"/>
              <w:left w:w="200" w:type="dxa"/>
              <w:right w:w="180" w:type="dxa"/>
            </w:tcMar>
            <w:tcBorders>
              <w:left w:val="single" w:sz="24" w:space="0" w:color="059669"/>
              <w:top w:val="none"/>
              <w:right w:val="none"/>
              <w:bottom w:val="none"/>
            </w:tcBorders>
          </w:tcPr>
          <w:p>
            <w:pPr>
              <w:spacing w:before="0" w:after="80"/>
            </w:pPr>
            <w:r>
              <w:rPr>
                <w:rFonts w:ascii="Segoe UI" w:hAnsi="Segoe UI"/>
                <w:b/>
                <w:color w:val="059669"/>
                <w:sz w:val="20"/>
              </w:rPr>
              <w:t>⚡ THE INVITATION</w:t>
            </w:r>
          </w:p>
          <w:p>
            <w:pPr>
              <w:spacing w:before="40" w:after="80"/>
            </w:pPr>
            <w:r>
              <w:rPr>
                <w:rFonts w:ascii="Segoe UI" w:hAnsi="Segoe UI"/>
                <w:b/>
                <w:color w:val="059669"/>
                <w:sz w:val="19"/>
              </w:rPr>
              <w:t xml:space="preserve">The Verdict: </w:t>
            </w:r>
            <w:r>
              <w:rPr>
                <w:rFonts w:ascii="Segoe UI" w:hAnsi="Segoe UI"/>
                <w:b w:val="0"/>
                <w:color w:val="1E293B"/>
                <w:sz w:val="19"/>
              </w:rPr>
              <w:t xml:space="preserve">Kshetra possesses the technical foundation, the defensible data moat, and the commercial roadmap of a category-defining venture. </w:t>
            </w:r>
            <w:r>
              <w:rPr>
                <w:rFonts w:ascii="Segoe UI" w:hAnsi="Segoe UI"/>
                <w:b w:val="0"/>
                <w:color w:val="1E293B"/>
                <w:sz w:val="19"/>
              </w:rPr>
              <w:t xml:space="preserve">With the core architecture proven and operational, the immediate mission is focused execution: launching to production, onboarding media partners, and scaling to millions of active voters. </w:t>
            </w:r>
            <w:r>
              <w:rPr>
                <w:rFonts w:ascii="Segoe UI" w:hAnsi="Segoe UI"/>
                <w:b/>
                <w:color w:val="0F172A"/>
                <w:sz w:val="19"/>
              </w:rPr>
              <w:t>Let's build India's Political Operating System together.</w:t>
            </w:r>
          </w:p>
        </w:tc>
      </w:tr>
    </w:tbl>
    <w:p>
      <w:pPr>
        <w:spacing w:before="0" w:after="8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