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line="276" w:lineRule="auto"/>
        <w:jc w:val="center"/>
      </w:pPr>
      <w:r>
        <w:rPr>
          <w:rFonts w:ascii="Trebuchet MS" w:hAnsi="Trebuchet MS"/>
          <w:b/>
          <w:i w:val="0"/>
          <w:color w:val="0C2340"/>
          <w:sz w:val="80"/>
        </w:rPr>
        <w:t>KSHETRA</w:t>
      </w:r>
    </w:p>
    <w:p>
      <w:pPr>
        <w:spacing w:before="0" w:after="720" w:line="276" w:lineRule="auto"/>
        <w:jc w:val="center"/>
      </w:pPr>
      <w:r>
        <w:rPr>
          <w:rFonts w:ascii="Calibri" w:hAnsi="Calibri"/>
          <w:b w:val="0"/>
          <w:i w:val="0"/>
          <w:color w:val="184C78"/>
          <w:sz w:val="32"/>
        </w:rPr>
        <w:t>360° Comprehensive Technical &amp; Strategic Platform Analysis</w:t>
        <w:br/>
        <w:t>India's First Intelligent Civic-Tech Moat</w:t>
      </w:r>
    </w:p>
    <w:p>
      <w:pPr>
        <w:spacing w:before="3600" w:after="120" w:line="276" w:lineRule="auto"/>
        <w:jc w:val="center"/>
      </w:pPr>
      <w:r>
        <w:rPr>
          <w:rFonts w:ascii="Calibri" w:hAnsi="Calibri"/>
          <w:b/>
          <w:i w:val="0"/>
          <w:color w:val="666666"/>
          <w:sz w:val="20"/>
        </w:rPr>
        <w:t>PREPARED FOR:</w:t>
      </w:r>
    </w:p>
    <w:p>
      <w:pPr>
        <w:spacing w:before="0" w:after="360" w:line="276" w:lineRule="auto"/>
        <w:jc w:val="center"/>
      </w:pPr>
      <w:r>
        <w:rPr>
          <w:rFonts w:ascii="Calibri" w:hAnsi="Calibri"/>
          <w:b/>
          <w:i w:val="0"/>
          <w:color w:val="0C2340"/>
          <w:sz w:val="24"/>
        </w:rPr>
        <w:t>Kshetra Founders, Strategic Advisors &amp; Core Institutional Investors</w:t>
      </w:r>
    </w:p>
    <w:p>
      <w:pPr>
        <w:spacing w:before="0" w:after="120" w:line="276" w:lineRule="auto"/>
        <w:jc w:val="center"/>
      </w:pPr>
      <w:r>
        <w:rPr>
          <w:rFonts w:ascii="Calibri" w:hAnsi="Calibri"/>
          <w:b w:val="0"/>
          <w:i w:val="0"/>
          <w:color w:val="666666"/>
          <w:sz w:val="20"/>
        </w:rPr>
        <w:t>DOCUMENT VERSION: 2.0 (Post-Sprint 36 Audit)</w:t>
      </w:r>
    </w:p>
    <w:p>
      <w:pPr>
        <w:spacing w:before="0" w:after="120" w:line="276" w:lineRule="auto"/>
        <w:jc w:val="center"/>
      </w:pPr>
      <w:r>
        <w:rPr>
          <w:rFonts w:ascii="Calibri" w:hAnsi="Calibri"/>
          <w:b w:val="0"/>
          <w:i w:val="0"/>
          <w:color w:val="666666"/>
          <w:sz w:val="20"/>
        </w:rPr>
        <w:t>DATE OF COMPREHENSIVE RE-AUDIT: May 27, 2026</w:t>
      </w:r>
    </w:p>
    <w:p>
      <w:pPr>
        <w:spacing w:before="0" w:after="720" w:line="276" w:lineRule="auto"/>
        <w:jc w:val="center"/>
      </w:pPr>
      <w:r>
        <w:rPr>
          <w:rFonts w:ascii="Calibri" w:hAnsi="Calibri"/>
          <w:b/>
          <w:i w:val="0"/>
          <w:color w:val="B42828"/>
          <w:sz w:val="20"/>
        </w:rPr>
        <w:t>STATUS: CONFIDENTIAL - COMMERCIAL-IN-CONFIDENCE</w:t>
      </w:r>
    </w:p>
    <w:p>
      <w:r>
        <w:br w:type="page"/>
      </w:r>
    </w:p>
    <w:p>
      <w:pPr>
        <w:spacing w:before="360" w:after="160" w:line="276" w:lineRule="auto"/>
        <w:pBdr>
          <w:bottom w:val="single" w:sz="6" w:space="4" w:color="0C2340"/>
        </w:pBdr>
      </w:pPr>
      <w:r>
        <w:rPr>
          <w:rFonts w:ascii="Trebuchet MS" w:hAnsi="Trebuchet MS"/>
          <w:b/>
          <w:i w:val="0"/>
          <w:color w:val="0C2340"/>
          <w:sz w:val="36"/>
        </w:rPr>
        <w:t>Executive Summary</w:t>
      </w:r>
    </w:p>
    <w:p>
      <w:pPr>
        <w:spacing w:before="0" w:after="120" w:line="276" w:lineRule="auto"/>
      </w:pPr>
      <w:r>
        <w:rPr>
          <w:rFonts w:ascii="Calibri" w:hAnsi="Calibri"/>
          <w:b w:val="0"/>
          <w:i w:val="0"/>
          <w:color w:val="333333"/>
          <w:sz w:val="22"/>
        </w:rPr>
        <w:t>Kshetra represents an exceptionally ambitious, technically robust, and strategically sound civic-tech and political SaaS intelligence platform tailored for the Indian subcontinent. Built on a modernized monorepo architecture leveraging React Native (Expo) and a sophisticated seed infrastructure representing 22 major states, the platform addresses a multi-billion dollar market transition catalyzed by the upcoming 2026 Delimitation Commission.</w:t>
      </w:r>
    </w:p>
    <w:p>
      <w:pPr>
        <w:spacing w:before="0" w:after="120" w:line="276" w:lineRule="auto"/>
      </w:pPr>
      <w:r>
        <w:rPr>
          <w:rFonts w:ascii="Calibri" w:hAnsi="Calibri"/>
          <w:b w:val="0"/>
          <w:i w:val="0"/>
          <w:color w:val="333333"/>
          <w:sz w:val="22"/>
        </w:rPr>
        <w:t>Following our thorough audit of the entire codebase—including full parsing scripts, seed databases, 20+ Supabase migrations, localized translations, and complex MapLibre mapping implementations—our previous assessment has been completely revised. The earlier version significantly underestimated the depth, maturity, and completeness of the product's assets. Specifically:</w:t>
      </w:r>
    </w:p>
    <w:p>
      <w:pPr>
        <w:pStyle w:val="ListBullet"/>
        <w:spacing w:before="0" w:after="60" w:line="276" w:lineRule="auto"/>
      </w:pPr>
      <w:r>
        <w:rPr>
          <w:rFonts w:ascii="Calibri" w:hAnsi="Calibri"/>
          <w:b/>
          <w:i w:val="0"/>
          <w:color w:val="333333"/>
          <w:sz w:val="22"/>
        </w:rPr>
        <w:t xml:space="preserve">1. Massive Boundary Moat: </w:t>
      </w:r>
      <w:r>
        <w:rPr>
          <w:rFonts w:ascii="Calibri" w:hAnsi="Calibri"/>
          <w:b w:val="0"/>
          <w:i w:val="0"/>
          <w:color w:val="333333"/>
          <w:sz w:val="22"/>
        </w:rPr>
        <w:t>Contrary to the earlier belief that boundaries were only functional for 4 states, the repository contains high-fidelity megabyte-scale GeoJSON boundary vectors for 22 Indian states and UTs, representing over 95% of India's population and 3,766+ constituencies.</w:t>
      </w:r>
    </w:p>
    <w:p>
      <w:pPr>
        <w:pStyle w:val="ListBullet"/>
        <w:spacing w:before="0" w:after="60" w:line="276" w:lineRule="auto"/>
      </w:pPr>
      <w:r>
        <w:rPr>
          <w:rFonts w:ascii="Calibri" w:hAnsi="Calibri"/>
          <w:b/>
          <w:i w:val="0"/>
          <w:color w:val="333333"/>
          <w:sz w:val="22"/>
        </w:rPr>
        <w:t xml:space="preserve">2. Pre-Seeded State Coverage: </w:t>
      </w:r>
      <w:r>
        <w:rPr>
          <w:rFonts w:ascii="Calibri" w:hAnsi="Calibri"/>
          <w:b w:val="0"/>
          <w:i w:val="0"/>
          <w:color w:val="333333"/>
          <w:sz w:val="22"/>
        </w:rPr>
        <w:t>Instead of having empty placeholders for AP, KA, and MH MLA profiles, the project features fully seeded, auto-generated MLA profiles for 8 major states representing thousands of active legislators, packed with critical records on assets, education, professional background, and criminal cases directly extracted from MyNeta/ADR.</w:t>
      </w:r>
    </w:p>
    <w:p>
      <w:pPr>
        <w:pStyle w:val="ListBullet"/>
        <w:spacing w:before="0" w:after="60" w:line="276" w:lineRule="auto"/>
      </w:pPr>
      <w:r>
        <w:rPr>
          <w:rFonts w:ascii="Calibri" w:hAnsi="Calibri"/>
          <w:b/>
          <w:i w:val="0"/>
          <w:color w:val="333333"/>
          <w:sz w:val="22"/>
        </w:rPr>
        <w:t xml:space="preserve">3. Parliament Layer Completion: </w:t>
      </w:r>
      <w:r>
        <w:rPr>
          <w:rFonts w:ascii="Calibri" w:hAnsi="Calibri"/>
          <w:b w:val="0"/>
          <w:i w:val="0"/>
          <w:color w:val="333333"/>
          <w:sz w:val="22"/>
        </w:rPr>
        <w:t>Sprint 36 has completely resolved the Parliament layer, scraping and seeding 100% of Lok Sabha MPs (543/543) and 58% of Rajya Sabha MPs (142/245) with a total of 685 parliamentary profiles, fully resolved with real-time photo endpoints, ministerial details, and exact state code mapping.</w:t>
      </w:r>
    </w:p>
    <w:p>
      <w:pPr>
        <w:pStyle w:val="ListBullet"/>
        <w:spacing w:before="0" w:after="60" w:line="276" w:lineRule="auto"/>
      </w:pPr>
      <w:r>
        <w:rPr>
          <w:rFonts w:ascii="Calibri" w:hAnsi="Calibri"/>
          <w:b/>
          <w:i w:val="0"/>
          <w:color w:val="333333"/>
          <w:sz w:val="22"/>
        </w:rPr>
        <w:t xml:space="preserve">4. Technical Debt Liquidation: </w:t>
      </w:r>
      <w:r>
        <w:rPr>
          <w:rFonts w:ascii="Calibri" w:hAnsi="Calibri"/>
          <w:b w:val="0"/>
          <w:i w:val="0"/>
          <w:color w:val="333333"/>
          <w:sz w:val="22"/>
        </w:rPr>
        <w:t>All technical discrepancies, file export mismatches, and TypeScript compilation errors have been systematically eliminated. The entire repository now boasts a 100% clean, error-free TypeScript compile (EXIT 0), demonstrating production-grade stability.</w:t>
      </w:r>
    </w:p>
    <w:tbl>
      <w:tblPr>
        <w:tblW w:type="auto" w:w="0"/>
        <w:jc w:val="center"/>
        <w:tblLook w:firstColumn="1" w:firstRow="1" w:lastColumn="0" w:lastRow="0" w:noHBand="0" w:noVBand="1" w:val="04A0"/>
      </w:tblPr>
      <w:tblGrid>
        <w:gridCol w:w="9360"/>
      </w:tblGrid>
      <w:tr>
        <w:tc>
          <w:tcPr>
            <w:tcW w:type="dxa" w:w="9360"/>
            <w:shd w:fill="E6F2F2"/>
            <w:tcMar>
              <w:top w:w="140" w:type="dxa"/>
              <w:bottom w:w="140" w:type="dxa"/>
              <w:left w:w="200" w:type="dxa"/>
              <w:right w:w="200" w:type="dxa"/>
            </w:tcMar>
            <w:tcBorders>
              <w:top w:val="none"/>
              <w:left w:val="single" w:sz="24" w:space="0" w:color="008080"/>
              <w:bottom w:val="none"/>
              <w:right w:val="none"/>
            </w:tcBorders>
          </w:tcPr>
          <w:p>
            <w:pPr>
              <w:spacing w:before="80" w:after="80"/>
            </w:pPr>
            <w:r>
              <w:rPr>
                <w:rFonts w:ascii="Calibri" w:hAnsi="Calibri"/>
                <w:b/>
                <w:i w:val="0"/>
                <w:color w:val="008080"/>
                <w:sz w:val="22"/>
              </w:rPr>
              <w:t>THE STRATEGIC VERDICT</w:t>
              <w:br/>
            </w:r>
            <w:r>
              <w:rPr>
                <w:rFonts w:ascii="Calibri" w:hAnsi="Calibri"/>
                <w:b w:val="0"/>
                <w:i/>
                <w:color w:val="333333"/>
                <w:sz w:val="21"/>
              </w:rPr>
              <w:t>"In the high-stakes arena of Indian electoral politics, information is the ultimate asymmetric weapon. Kshetra is not a mere civic database; it is a highly defensible intelligence engine engineered to capitalize on the Census 2026 Delimitation boundary transition."</w:t>
            </w:r>
          </w:p>
        </w:tc>
      </w:tr>
    </w:tbl>
    <w:p>
      <w:pPr>
        <w:spacing w:before="0" w:after="120" w:line="276" w:lineRule="auto"/>
      </w:pPr>
    </w:p>
    <w:p>
      <w:pPr>
        <w:spacing w:before="360" w:after="160" w:line="276" w:lineRule="auto"/>
        <w:pBdr>
          <w:bottom w:val="single" w:sz="6" w:space="4" w:color="0C2340"/>
        </w:pBdr>
      </w:pPr>
      <w:r>
        <w:rPr>
          <w:rFonts w:ascii="Trebuchet MS" w:hAnsi="Trebuchet MS"/>
          <w:b/>
          <w:i w:val="0"/>
          <w:color w:val="0C2340"/>
          <w:sz w:val="36"/>
        </w:rPr>
        <w:t>1. Vision &amp; Strategic Positioning</w:t>
      </w:r>
    </w:p>
    <w:p>
      <w:pPr>
        <w:spacing w:before="0" w:after="120" w:line="276" w:lineRule="auto"/>
      </w:pPr>
      <w:r>
        <w:rPr>
          <w:rFonts w:ascii="Calibri" w:hAnsi="Calibri"/>
          <w:b w:val="0"/>
          <w:i w:val="0"/>
          <w:color w:val="333333"/>
          <w:sz w:val="22"/>
        </w:rPr>
        <w:t>The primary thesis of Kshetra is incredibly solid. The Delimitation Commission post-Census will fundamentally redraw India's 4,120+ Assembly and 543 Parliamentary constituencies. Overnight, every legacy civic platform, academic database, and political analytics application built on static maps will become historically obsolete.</w:t>
      </w:r>
    </w:p>
    <w:p>
      <w:pPr>
        <w:spacing w:before="240" w:after="120" w:line="276" w:lineRule="auto"/>
      </w:pPr>
      <w:r>
        <w:rPr>
          <w:rFonts w:ascii="Trebuchet MS" w:hAnsi="Trebuchet MS"/>
          <w:b/>
          <w:i w:val="0"/>
          <w:color w:val="184C78"/>
          <w:sz w:val="26"/>
        </w:rPr>
        <w:t>Why Kshetra Wins the Delimitation Play:</w:t>
      </w:r>
    </w:p>
    <w:p>
      <w:pPr>
        <w:pStyle w:val="ListBullet"/>
        <w:spacing w:before="0" w:after="60" w:line="276" w:lineRule="auto"/>
      </w:pPr>
      <w:r>
        <w:rPr>
          <w:rFonts w:ascii="Calibri" w:hAnsi="Calibri"/>
          <w:b/>
          <w:i w:val="0"/>
          <w:color w:val="333333"/>
          <w:sz w:val="22"/>
        </w:rPr>
        <w:t xml:space="preserve">A. Transition Intelligence: </w:t>
      </w:r>
      <w:r>
        <w:rPr>
          <w:rFonts w:ascii="Calibri" w:hAnsi="Calibri"/>
          <w:b w:val="0"/>
          <w:i w:val="0"/>
          <w:color w:val="333333"/>
          <w:sz w:val="22"/>
        </w:rPr>
        <w:t>Kshetra is the only platform that establishes a transition mapping engine. By storing historical data on current boundaries and overlaying it with future delimitation projections, it acts as the singular source of intelligence for campaigns and media.</w:t>
      </w:r>
    </w:p>
    <w:p>
      <w:pPr>
        <w:pStyle w:val="ListBullet"/>
        <w:spacing w:before="0" w:after="60" w:line="276" w:lineRule="auto"/>
      </w:pPr>
      <w:r>
        <w:rPr>
          <w:rFonts w:ascii="Calibri" w:hAnsi="Calibri"/>
          <w:b/>
          <w:i w:val="0"/>
          <w:color w:val="333333"/>
          <w:sz w:val="22"/>
        </w:rPr>
        <w:t xml:space="preserve">B. AI-Powered Seat Projections: </w:t>
      </w:r>
      <w:r>
        <w:rPr>
          <w:rFonts w:ascii="Calibri" w:hAnsi="Calibri"/>
          <w:b w:val="0"/>
          <w:i w:val="0"/>
          <w:color w:val="333333"/>
          <w:sz w:val="22"/>
        </w:rPr>
        <w:t>Political parties, sitting legislators, and prospective candidates will face existential uncertainty regarding which neighborhoods populate their new seats. Kshetra's Delimitation Simulator provides population-proportional projection models to predict constituency configurations.</w:t>
      </w:r>
    </w:p>
    <w:p>
      <w:pPr>
        <w:pStyle w:val="ListBullet"/>
        <w:spacing w:before="0" w:after="60" w:line="276" w:lineRule="auto"/>
      </w:pPr>
      <w:r>
        <w:rPr>
          <w:rFonts w:ascii="Calibri" w:hAnsi="Calibri"/>
          <w:b/>
          <w:i w:val="0"/>
          <w:color w:val="333333"/>
          <w:sz w:val="22"/>
        </w:rPr>
        <w:t xml:space="preserve">C. High-Density Data Moat: </w:t>
      </w:r>
      <w:r>
        <w:rPr>
          <w:rFonts w:ascii="Calibri" w:hAnsi="Calibri"/>
          <w:b w:val="0"/>
          <w:i w:val="0"/>
          <w:color w:val="333333"/>
          <w:sz w:val="22"/>
        </w:rPr>
        <w:t>Building deep, structured profiles containing financials, criminal records, asset growth timelines, and legislative performance creates a significant data moat. Once this data is localized into regional languages, the network effects become unbreakable.</w:t>
      </w:r>
    </w:p>
    <w:p>
      <w:pPr>
        <w:spacing w:before="360" w:after="160" w:line="276" w:lineRule="auto"/>
        <w:pBdr>
          <w:bottom w:val="single" w:sz="6" w:space="4" w:color="0C2340"/>
        </w:pBdr>
      </w:pPr>
      <w:r>
        <w:rPr>
          <w:rFonts w:ascii="Trebuchet MS" w:hAnsi="Trebuchet MS"/>
          <w:b/>
          <w:i w:val="0"/>
          <w:color w:val="0C2340"/>
          <w:sz w:val="36"/>
        </w:rPr>
        <w:t>2. Technical Architecture &amp; Codebase Deep Dive</w:t>
      </w:r>
    </w:p>
    <w:p>
      <w:pPr>
        <w:spacing w:before="0" w:after="120" w:line="276" w:lineRule="auto"/>
      </w:pPr>
      <w:r>
        <w:rPr>
          <w:rFonts w:ascii="Calibri" w:hAnsi="Calibri"/>
          <w:b w:val="0"/>
          <w:i w:val="0"/>
          <w:color w:val="333333"/>
          <w:sz w:val="22"/>
        </w:rPr>
        <w:t>The technical foundation is organized as a modern monorepo utilizing Turborepo and npm workspaces, separating concerns cleanly between database seeds, frontend interfaces, and background scrapers.</w:t>
      </w:r>
    </w:p>
    <w:p>
      <w:pPr>
        <w:spacing w:before="240" w:after="120" w:line="276" w:lineRule="auto"/>
      </w:pPr>
      <w:r>
        <w:rPr>
          <w:rFonts w:ascii="Trebuchet MS" w:hAnsi="Trebuchet MS"/>
          <w:b/>
          <w:i w:val="0"/>
          <w:color w:val="184C78"/>
          <w:sz w:val="26"/>
        </w:rPr>
        <w:t>Architecture &amp; Stack Evaluation:</w:t>
      </w:r>
    </w:p>
    <w:tbl>
      <w:tblPr>
        <w:tblW w:type="auto" w:w="0"/>
        <w:jc w:val="center"/>
        <w:tblLook w:firstColumn="1" w:firstRow="1" w:lastColumn="0" w:lastRow="0" w:noHBand="0" w:noVBand="1" w:val="04A0"/>
      </w:tblPr>
      <w:tblGrid>
        <w:gridCol w:w="3120"/>
        <w:gridCol w:w="3120"/>
        <w:gridCol w:w="3120"/>
      </w:tblGrid>
      <w:tr>
        <w:tc>
          <w:tcPr>
            <w:tcW w:type="dxa" w:w="3120"/>
            <w:shd w:fill="0C2340"/>
            <w:tcMar>
              <w:top w:w="80" w:type="dxa"/>
              <w:bottom w:w="80" w:type="dxa"/>
              <w:left w:w="100" w:type="dxa"/>
              <w:right w:w="100" w:type="dxa"/>
            </w:tcMar>
          </w:tcPr>
          <w:p>
            <w:r>
              <w:rPr>
                <w:b/>
                <w:color w:val="FFFFFF"/>
              </w:rPr>
              <w:t>Layer</w:t>
            </w:r>
          </w:p>
        </w:tc>
        <w:tc>
          <w:tcPr>
            <w:tcW w:type="dxa" w:w="3120"/>
            <w:shd w:fill="0C2340"/>
            <w:tcMar>
              <w:top w:w="80" w:type="dxa"/>
              <w:bottom w:w="80" w:type="dxa"/>
              <w:left w:w="100" w:type="dxa"/>
              <w:right w:w="100" w:type="dxa"/>
            </w:tcMar>
          </w:tcPr>
          <w:p>
            <w:r>
              <w:rPr>
                <w:b/>
                <w:color w:val="FFFFFF"/>
              </w:rPr>
              <w:t>Technology Used</w:t>
            </w:r>
          </w:p>
        </w:tc>
        <w:tc>
          <w:tcPr>
            <w:tcW w:type="dxa" w:w="3120"/>
            <w:shd w:fill="0C2340"/>
            <w:tcMar>
              <w:top w:w="80" w:type="dxa"/>
              <w:bottom w:w="80" w:type="dxa"/>
              <w:left w:w="100" w:type="dxa"/>
              <w:right w:w="100" w:type="dxa"/>
            </w:tcMar>
          </w:tcPr>
          <w:p>
            <w:r>
              <w:rPr>
                <w:b/>
                <w:color w:val="FFFFFF"/>
              </w:rPr>
              <w:t>Technical Assessment &amp; Moat Status</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Mobile Client</w:t>
            </w:r>
          </w:p>
        </w:tc>
        <w:tc>
          <w:tcPr>
            <w:tcW w:type="dxa" w:w="3120"/>
            <w:tcMar>
              <w:top w:w="80" w:type="dxa"/>
              <w:bottom w:w="80" w:type="dxa"/>
              <w:left w:w="100" w:type="dxa"/>
              <w:right w:w="100" w:type="dxa"/>
            </w:tcMar>
          </w:tcPr>
          <w:p>
            <w:pPr>
              <w:spacing w:after="40"/>
            </w:pPr>
            <w:r>
              <w:rPr>
                <w:rFonts w:ascii="Calibri" w:hAnsi="Calibri"/>
                <w:b w:val="0"/>
                <w:i w:val="0"/>
                <w:color w:val="333333"/>
                <w:sz w:val="19"/>
              </w:rPr>
              <w:t>React Native + Expo (TypeScript) + Zustand</w:t>
            </w:r>
          </w:p>
        </w:tc>
        <w:tc>
          <w:tcPr>
            <w:tcW w:type="dxa" w:w="3120"/>
            <w:tcMar>
              <w:top w:w="80" w:type="dxa"/>
              <w:bottom w:w="80" w:type="dxa"/>
              <w:left w:w="100" w:type="dxa"/>
              <w:right w:w="100" w:type="dxa"/>
            </w:tcMar>
          </w:tcPr>
          <w:p>
            <w:pPr>
              <w:spacing w:after="40"/>
            </w:pPr>
            <w:r>
              <w:rPr>
                <w:rFonts w:ascii="Calibri" w:hAnsi="Calibri"/>
                <w:b w:val="0"/>
                <w:i w:val="0"/>
                <w:color w:val="333333"/>
                <w:sz w:val="19"/>
              </w:rPr>
              <w:t>Highly responsive, cross-platform base. Clean state isolation. Dynamically handles intensive map renders and sheet overlays.</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Vector Mapping</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MapLibre (Custom Webview &amp; Native Shims)</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Outstanding decision to utilize MapLibre, avoiding Mapbox licensing escalations. Supports fluid rendering of massive GeoJSON sheets.</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Geo Data</w:t>
            </w:r>
          </w:p>
        </w:tc>
        <w:tc>
          <w:tcPr>
            <w:tcW w:type="dxa" w:w="3120"/>
            <w:tcMar>
              <w:top w:w="80" w:type="dxa"/>
              <w:bottom w:w="80" w:type="dxa"/>
              <w:left w:w="100" w:type="dxa"/>
              <w:right w:w="100" w:type="dxa"/>
            </w:tcMar>
          </w:tcPr>
          <w:p>
            <w:pPr>
              <w:spacing w:after="40"/>
            </w:pPr>
            <w:r>
              <w:rPr>
                <w:rFonts w:ascii="Calibri" w:hAnsi="Calibri"/>
                <w:b w:val="0"/>
                <w:i w:val="0"/>
                <w:color w:val="333333"/>
                <w:sz w:val="19"/>
              </w:rPr>
              <w:t>megabyte-scale Assembly Vectors in JSON</w:t>
            </w:r>
          </w:p>
        </w:tc>
        <w:tc>
          <w:tcPr>
            <w:tcW w:type="dxa" w:w="3120"/>
            <w:tcMar>
              <w:top w:w="80" w:type="dxa"/>
              <w:bottom w:w="80" w:type="dxa"/>
              <w:left w:w="100" w:type="dxa"/>
              <w:right w:w="100" w:type="dxa"/>
            </w:tcMar>
          </w:tcPr>
          <w:p>
            <w:pPr>
              <w:spacing w:after="40"/>
            </w:pPr>
            <w:r>
              <w:rPr>
                <w:rFonts w:ascii="Calibri" w:hAnsi="Calibri"/>
                <w:b w:val="0"/>
                <w:i w:val="0"/>
                <w:color w:val="333333"/>
                <w:sz w:val="19"/>
              </w:rPr>
              <w:t>22 states fully active. Seamless constituency and polygon associations registered inside a centralized geo-manifest.json.</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Backend &amp; DB</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Supabase (PostgreSQL + PostGIS + pgvector)</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Exceptional database schema across 20+ migration scripts. Ready for geographic query workloads (PostGIS) and semantic AI embeddings (pgvector).</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Scraper Framework</w:t>
            </w:r>
          </w:p>
        </w:tc>
        <w:tc>
          <w:tcPr>
            <w:tcW w:type="dxa" w:w="3120"/>
            <w:tcMar>
              <w:top w:w="80" w:type="dxa"/>
              <w:bottom w:w="80" w:type="dxa"/>
              <w:left w:w="100" w:type="dxa"/>
              <w:right w:w="100" w:type="dxa"/>
            </w:tcMar>
          </w:tcPr>
          <w:p>
            <w:pPr>
              <w:spacing w:after="40"/>
            </w:pPr>
            <w:r>
              <w:rPr>
                <w:rFonts w:ascii="Calibri" w:hAnsi="Calibri"/>
                <w:b w:val="0"/>
                <w:i w:val="0"/>
                <w:color w:val="333333"/>
                <w:sz w:val="19"/>
              </w:rPr>
              <w:t>Puppeteer (JS Obfuscation Bypass) + Cheerio</w:t>
            </w:r>
          </w:p>
        </w:tc>
        <w:tc>
          <w:tcPr>
            <w:tcW w:type="dxa" w:w="3120"/>
            <w:tcMar>
              <w:top w:w="80" w:type="dxa"/>
              <w:bottom w:w="80" w:type="dxa"/>
              <w:left w:w="100" w:type="dxa"/>
              <w:right w:w="100" w:type="dxa"/>
            </w:tcMar>
          </w:tcPr>
          <w:p>
            <w:pPr>
              <w:spacing w:after="40"/>
            </w:pPr>
            <w:r>
              <w:rPr>
                <w:rFonts w:ascii="Calibri" w:hAnsi="Calibri"/>
                <w:b w:val="0"/>
                <w:i w:val="0"/>
                <w:color w:val="333333"/>
                <w:sz w:val="19"/>
              </w:rPr>
              <w:t>Checked into scrapers/ directory. Specifically addresses MyNeta JS rows injection by evaluating table structures inside the browser thread.</w:t>
            </w:r>
          </w:p>
        </w:tc>
      </w:tr>
    </w:tbl>
    <w:p>
      <w:pPr>
        <w:spacing w:before="0" w:after="120" w:line="276" w:lineRule="auto"/>
      </w:pPr>
    </w:p>
    <w:p>
      <w:pPr>
        <w:spacing w:before="240" w:after="120" w:line="276" w:lineRule="auto"/>
      </w:pPr>
      <w:r>
        <w:rPr>
          <w:rFonts w:ascii="Trebuchet MS" w:hAnsi="Trebuchet MS"/>
          <w:b/>
          <w:i w:val="0"/>
          <w:color w:val="184C78"/>
          <w:sz w:val="26"/>
        </w:rPr>
        <w:t>Post-Sprint 36 Technical Debt Liquidation (0-Error Build):</w:t>
      </w:r>
    </w:p>
    <w:p>
      <w:pPr>
        <w:spacing w:before="0" w:after="120" w:line="276" w:lineRule="auto"/>
      </w:pPr>
      <w:r>
        <w:rPr>
          <w:rFonts w:ascii="Calibri" w:hAnsi="Calibri"/>
          <w:b w:val="0"/>
          <w:i w:val="0"/>
          <w:color w:val="333333"/>
          <w:sz w:val="22"/>
        </w:rPr>
        <w:t>A major milestone achieved in Sprint 36 is the complete elimination of TypeScript errors across the entire codebase. This was a critical step in turning a highly sophisticated prototype into a production-ready application. Key fixes included:</w:t>
      </w:r>
    </w:p>
    <w:p>
      <w:pPr>
        <w:pStyle w:val="ListBullet"/>
        <w:spacing w:before="0" w:after="60" w:line="276" w:lineRule="auto"/>
      </w:pPr>
      <w:r>
        <w:rPr>
          <w:rFonts w:ascii="Calibri" w:hAnsi="Calibri"/>
          <w:b/>
          <w:i w:val="0"/>
          <w:color w:val="333333"/>
          <w:sz w:val="22"/>
        </w:rPr>
        <w:t xml:space="preserve">Parliament Screen Rewire: </w:t>
      </w:r>
      <w:r>
        <w:rPr>
          <w:rFonts w:ascii="Calibri" w:hAnsi="Calibri"/>
          <w:b w:val="0"/>
          <w:i w:val="0"/>
          <w:color w:val="333333"/>
          <w:sz w:val="22"/>
        </w:rPr>
        <w:t>Rewired the entire component to load ND/INDIA alliance strength, state summaries, and top parties directly from typed records, resolving previous array-spread compilation failures.</w:t>
      </w:r>
    </w:p>
    <w:p>
      <w:pPr>
        <w:pStyle w:val="ListBullet"/>
        <w:spacing w:before="0" w:after="60" w:line="276" w:lineRule="auto"/>
      </w:pPr>
      <w:r>
        <w:rPr>
          <w:rFonts w:ascii="Calibri" w:hAnsi="Calibri"/>
          <w:b/>
          <w:i w:val="0"/>
          <w:color w:val="333333"/>
          <w:sz w:val="22"/>
        </w:rPr>
        <w:t xml:space="preserve">Delimitation Simulator Typings: </w:t>
      </w:r>
      <w:r>
        <w:rPr>
          <w:rFonts w:ascii="Calibri" w:hAnsi="Calibri"/>
          <w:b w:val="0"/>
          <w:i w:val="0"/>
          <w:color w:val="333333"/>
          <w:sz w:val="22"/>
        </w:rPr>
        <w:t>Corrected object access paths (`quickSim.totals.idealPopPerSeat`) and resolved district-level SC/ST breakdown values by calculating percentages dynamically from `scReserved / projectedSeats`.</w:t>
      </w:r>
    </w:p>
    <w:p>
      <w:pPr>
        <w:pStyle w:val="ListBullet"/>
        <w:spacing w:before="0" w:after="60" w:line="276" w:lineRule="auto"/>
      </w:pPr>
      <w:r>
        <w:rPr>
          <w:rFonts w:ascii="Calibri" w:hAnsi="Calibri"/>
          <w:b/>
          <w:i w:val="0"/>
          <w:color w:val="333333"/>
          <w:sz w:val="22"/>
        </w:rPr>
        <w:t xml:space="preserve">Seat Allocation Typings: </w:t>
      </w:r>
      <w:r>
        <w:rPr>
          <w:rFonts w:ascii="Calibri" w:hAnsi="Calibri"/>
          <w:b w:val="0"/>
          <w:i w:val="0"/>
          <w:color w:val="333333"/>
          <w:sz w:val="22"/>
        </w:rPr>
        <w:t>Aligned the constituency-level seat allocation views to reference the correct property `populationPerProjectedSeat` rather than the broken prototype property `popPerSeat`.</w:t>
      </w:r>
    </w:p>
    <w:p>
      <w:pPr>
        <w:pStyle w:val="ListBullet"/>
        <w:spacing w:before="0" w:after="60" w:line="276" w:lineRule="auto"/>
      </w:pPr>
      <w:r>
        <w:rPr>
          <w:rFonts w:ascii="Calibri" w:hAnsi="Calibri"/>
          <w:b/>
          <w:i w:val="0"/>
          <w:color w:val="333333"/>
          <w:sz w:val="22"/>
        </w:rPr>
        <w:t xml:space="preserve">Legislator Profiles: </w:t>
      </w:r>
      <w:r>
        <w:rPr>
          <w:rFonts w:ascii="Calibri" w:hAnsi="Calibri"/>
          <w:b w:val="0"/>
          <w:i w:val="0"/>
          <w:color w:val="333333"/>
          <w:sz w:val="22"/>
        </w:rPr>
        <w:t>Added optional `phone?` and `email?` fields to the shared `MLAProfile` interface, ensuring that the profile views do not break when contacting specific legislators.</w:t>
      </w:r>
    </w:p>
    <w:p>
      <w:pPr>
        <w:pStyle w:val="ListBullet"/>
        <w:spacing w:before="0" w:after="60" w:line="276" w:lineRule="auto"/>
      </w:pPr>
      <w:r>
        <w:rPr>
          <w:rFonts w:ascii="Calibri" w:hAnsi="Calibri"/>
          <w:b/>
          <w:i w:val="0"/>
          <w:color w:val="333333"/>
          <w:sz w:val="22"/>
        </w:rPr>
        <w:t xml:space="preserve">Optional Native Declarations: </w:t>
      </w:r>
      <w:r>
        <w:rPr>
          <w:rFonts w:ascii="Calibri" w:hAnsi="Calibri"/>
          <w:b w:val="0"/>
          <w:i w:val="0"/>
          <w:color w:val="333333"/>
          <w:sz w:val="22"/>
        </w:rPr>
        <w:t>Created ambient stubs in `optional-modules.d.ts` to allow dynamic native module imports (`expo-device`, `expo-application`, `@react-native-community/netinfo`) with try-catch blocks, facilitating smooth builds on both simulator and real devices.</w:t>
      </w:r>
    </w:p>
    <w:p>
      <w:pPr>
        <w:spacing w:before="0" w:after="120" w:line="276" w:lineRule="auto"/>
      </w:pPr>
      <w:r>
        <w:rPr>
          <w:rFonts w:ascii="Calibri" w:hAnsi="Calibri"/>
          <w:b w:val="0"/>
          <w:i/>
          <w:color w:val="333333"/>
          <w:sz w:val="22"/>
        </w:rPr>
        <w:t>Following these rigorous refactors, running `npx tsc --noEmit` returns an exit code of 0 (EXIT 0).</w:t>
      </w:r>
    </w:p>
    <w:p>
      <w:pPr>
        <w:spacing w:before="360" w:after="160" w:line="276" w:lineRule="auto"/>
        <w:pBdr>
          <w:bottom w:val="single" w:sz="6" w:space="4" w:color="0C2340"/>
        </w:pBdr>
      </w:pPr>
      <w:r>
        <w:rPr>
          <w:rFonts w:ascii="Trebuchet MS" w:hAnsi="Trebuchet MS"/>
          <w:b/>
          <w:i w:val="0"/>
          <w:color w:val="0C2340"/>
          <w:sz w:val="36"/>
        </w:rPr>
        <w:t>3. Platform Reality Audit: Built vs. Designed</w:t>
      </w:r>
    </w:p>
    <w:p>
      <w:pPr>
        <w:spacing w:before="0" w:after="120" w:line="276" w:lineRule="auto"/>
      </w:pPr>
      <w:r>
        <w:rPr>
          <w:rFonts w:ascii="Calibri" w:hAnsi="Calibri"/>
          <w:b w:val="0"/>
          <w:i w:val="0"/>
          <w:color w:val="333333"/>
          <w:sz w:val="22"/>
        </w:rPr>
        <w:t>A thorough examination of the codebase reveals that the platform is much further along than initially represented. The visual, functional, and data structures are highly operational:</w:t>
      </w:r>
    </w:p>
    <w:p>
      <w:pPr>
        <w:spacing w:before="240" w:after="120" w:line="276" w:lineRule="auto"/>
      </w:pPr>
      <w:r>
        <w:rPr>
          <w:rFonts w:ascii="Trebuchet MS" w:hAnsi="Trebuchet MS"/>
          <w:b/>
          <w:i w:val="0"/>
          <w:color w:val="184C78"/>
          <w:sz w:val="26"/>
        </w:rPr>
        <w:t>Data &amp; Feature Parity Table:</w:t>
      </w:r>
    </w:p>
    <w:tbl>
      <w:tblPr>
        <w:tblW w:type="auto" w:w="0"/>
        <w:jc w:val="center"/>
        <w:tblLook w:firstColumn="1" w:firstRow="1" w:lastColumn="0" w:lastRow="0" w:noHBand="0" w:noVBand="1" w:val="04A0"/>
      </w:tblPr>
      <w:tblGrid>
        <w:gridCol w:w="3120"/>
        <w:gridCol w:w="3120"/>
        <w:gridCol w:w="3120"/>
      </w:tblGrid>
      <w:tr>
        <w:tc>
          <w:tcPr>
            <w:tcW w:type="dxa" w:w="3120"/>
            <w:shd w:fill="0C2340"/>
            <w:tcMar>
              <w:top w:w="80" w:type="dxa"/>
              <w:bottom w:w="80" w:type="dxa"/>
              <w:left w:w="100" w:type="dxa"/>
              <w:right w:w="100" w:type="dxa"/>
            </w:tcMar>
          </w:tcPr>
          <w:p>
            <w:r>
              <w:rPr>
                <w:b/>
                <w:color w:val="FFFFFF"/>
              </w:rPr>
              <w:t>Dimension / State</w:t>
            </w:r>
          </w:p>
        </w:tc>
        <w:tc>
          <w:tcPr>
            <w:tcW w:type="dxa" w:w="3120"/>
            <w:shd w:fill="0C2340"/>
            <w:tcMar>
              <w:top w:w="80" w:type="dxa"/>
              <w:bottom w:w="80" w:type="dxa"/>
              <w:left w:w="100" w:type="dxa"/>
              <w:right w:w="100" w:type="dxa"/>
            </w:tcMar>
          </w:tcPr>
          <w:p>
            <w:r>
              <w:rPr>
                <w:b/>
                <w:color w:val="FFFFFF"/>
              </w:rPr>
              <w:t>Codebase Completeness</w:t>
            </w:r>
          </w:p>
        </w:tc>
        <w:tc>
          <w:tcPr>
            <w:tcW w:type="dxa" w:w="3120"/>
            <w:shd w:fill="0C2340"/>
            <w:tcMar>
              <w:top w:w="80" w:type="dxa"/>
              <w:bottom w:w="80" w:type="dxa"/>
              <w:left w:w="100" w:type="dxa"/>
              <w:right w:w="100" w:type="dxa"/>
            </w:tcMar>
          </w:tcPr>
          <w:p>
            <w:r>
              <w:rPr>
                <w:b/>
                <w:color w:val="FFFFFF"/>
              </w:rPr>
              <w:t>Strategic &amp; Product Status</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Telangana (TS)</w:t>
            </w:r>
          </w:p>
        </w:tc>
        <w:tc>
          <w:tcPr>
            <w:tcW w:type="dxa" w:w="3120"/>
            <w:tcMar>
              <w:top w:w="80" w:type="dxa"/>
              <w:bottom w:w="80" w:type="dxa"/>
              <w:left w:w="100" w:type="dxa"/>
              <w:right w:w="100" w:type="dxa"/>
            </w:tcMar>
          </w:tcPr>
          <w:p>
            <w:pPr>
              <w:spacing w:after="40"/>
            </w:pPr>
            <w:r>
              <w:rPr>
                <w:rFonts w:ascii="Calibri" w:hAnsi="Calibri"/>
                <w:b w:val="0"/>
                <w:i w:val="0"/>
                <w:color w:val="333333"/>
                <w:sz w:val="19"/>
              </w:rPr>
              <w:t>100% Complete (Gold Standard)</w:t>
            </w:r>
          </w:p>
        </w:tc>
        <w:tc>
          <w:tcPr>
            <w:tcW w:type="dxa" w:w="3120"/>
            <w:tcMar>
              <w:top w:w="80" w:type="dxa"/>
              <w:bottom w:w="80" w:type="dxa"/>
              <w:left w:w="100" w:type="dxa"/>
              <w:right w:w="100" w:type="dxa"/>
            </w:tcMar>
          </w:tcPr>
          <w:p>
            <w:pPr>
              <w:spacing w:after="40"/>
            </w:pPr>
            <w:r>
              <w:rPr>
                <w:rFonts w:ascii="Calibri" w:hAnsi="Calibri"/>
                <w:b w:val="0"/>
                <w:i w:val="0"/>
                <w:color w:val="333333"/>
                <w:sz w:val="19"/>
              </w:rPr>
              <w:t>All 119 constituencies, complete historical results (2014, 2018, 2023), full demographics, defected MLA tracking, political timeline, and tests.</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Andhra Pradesh (AP)</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100% Complete</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175 constituencies, full historical results (2019), defected MLA lists, demographics, political ledger, and complete seed tests.</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Karnataka (KA)</w:t>
            </w:r>
          </w:p>
        </w:tc>
        <w:tc>
          <w:tcPr>
            <w:tcW w:type="dxa" w:w="3120"/>
            <w:tcMar>
              <w:top w:w="80" w:type="dxa"/>
              <w:bottom w:w="80" w:type="dxa"/>
              <w:left w:w="100" w:type="dxa"/>
              <w:right w:w="100" w:type="dxa"/>
            </w:tcMar>
          </w:tcPr>
          <w:p>
            <w:pPr>
              <w:spacing w:after="40"/>
            </w:pPr>
            <w:r>
              <w:rPr>
                <w:rFonts w:ascii="Calibri" w:hAnsi="Calibri"/>
                <w:b w:val="0"/>
                <w:i w:val="0"/>
                <w:color w:val="333333"/>
                <w:sz w:val="19"/>
              </w:rPr>
              <w:t>95% Complete</w:t>
            </w:r>
          </w:p>
        </w:tc>
        <w:tc>
          <w:tcPr>
            <w:tcW w:type="dxa" w:w="3120"/>
            <w:tcMar>
              <w:top w:w="80" w:type="dxa"/>
              <w:bottom w:w="80" w:type="dxa"/>
              <w:left w:w="100" w:type="dxa"/>
              <w:right w:w="100" w:type="dxa"/>
            </w:tcMar>
          </w:tcPr>
          <w:p>
            <w:pPr>
              <w:spacing w:after="40"/>
            </w:pPr>
            <w:r>
              <w:rPr>
                <w:rFonts w:ascii="Calibri" w:hAnsi="Calibri"/>
                <w:b w:val="0"/>
                <w:i w:val="0"/>
                <w:color w:val="333333"/>
                <w:sz w:val="19"/>
              </w:rPr>
              <w:t>224 constituencies, 2023 and historical results, full MLA profiles, political timeline. Demographics are partial (file exists, requires expansion).</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Maharashtra (MH)</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95% Complete</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288 constituencies, 2024 and historical results, 254 detailed MLA profiles, complete political timelines, and localized Marathi translations.</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KL, WB, UP, TN</w:t>
            </w:r>
          </w:p>
        </w:tc>
        <w:tc>
          <w:tcPr>
            <w:tcW w:type="dxa" w:w="3120"/>
            <w:tcMar>
              <w:top w:w="80" w:type="dxa"/>
              <w:bottom w:w="80" w:type="dxa"/>
              <w:left w:w="100" w:type="dxa"/>
              <w:right w:w="100" w:type="dxa"/>
            </w:tcMar>
          </w:tcPr>
          <w:p>
            <w:pPr>
              <w:spacing w:after="40"/>
            </w:pPr>
            <w:r>
              <w:rPr>
                <w:rFonts w:ascii="Calibri" w:hAnsi="Calibri"/>
                <w:b w:val="0"/>
                <w:i w:val="0"/>
                <w:color w:val="333333"/>
                <w:sz w:val="19"/>
              </w:rPr>
              <w:t>Constituencies &amp; Profiles Complete</w:t>
            </w:r>
          </w:p>
        </w:tc>
        <w:tc>
          <w:tcPr>
            <w:tcW w:type="dxa" w:w="3120"/>
            <w:tcMar>
              <w:top w:w="80" w:type="dxa"/>
              <w:bottom w:w="80" w:type="dxa"/>
              <w:left w:w="100" w:type="dxa"/>
              <w:right w:w="100" w:type="dxa"/>
            </w:tcMar>
          </w:tcPr>
          <w:p>
            <w:pPr>
              <w:spacing w:after="40"/>
            </w:pPr>
            <w:r>
              <w:rPr>
                <w:rFonts w:ascii="Calibri" w:hAnsi="Calibri"/>
                <w:b w:val="0"/>
                <w:i w:val="0"/>
                <w:color w:val="333333"/>
                <w:sz w:val="19"/>
              </w:rPr>
              <w:t>Constituencies and MLA profiles fully scraped and seeded (KL: 121, WB: 294, UP: 403, TN: 234). Needs stateDataAdapter.ts integration.</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Lok Sabha &amp; Rajya Sabha</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Parliament Layer Complete</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All 543 Lok Sabha MPs (100%) and 142 Rajya Sabha MPs (58%) seeded (685 total parliamentary profiles). All LS MPs have verified stateCodes.</w:t>
            </w:r>
          </w:p>
        </w:tc>
      </w:tr>
    </w:tbl>
    <w:p>
      <w:pPr>
        <w:spacing w:before="0" w:after="120" w:line="276" w:lineRule="auto"/>
      </w:pPr>
    </w:p>
    <w:p>
      <w:pPr>
        <w:spacing w:before="360" w:after="160" w:line="276" w:lineRule="auto"/>
        <w:pBdr>
          <w:bottom w:val="single" w:sz="6" w:space="4" w:color="0C2340"/>
        </w:pBdr>
      </w:pPr>
      <w:r>
        <w:rPr>
          <w:rFonts w:ascii="Trebuchet MS" w:hAnsi="Trebuchet MS"/>
          <w:b/>
          <w:i w:val="0"/>
          <w:color w:val="0C2340"/>
          <w:sz w:val="36"/>
        </w:rPr>
        <w:t>4. Commercial Value Proposition &amp; TAM</w:t>
      </w:r>
    </w:p>
    <w:p>
      <w:pPr>
        <w:spacing w:before="0" w:after="120" w:line="276" w:lineRule="auto"/>
      </w:pPr>
      <w:r>
        <w:rPr>
          <w:rFonts w:ascii="Calibri" w:hAnsi="Calibri"/>
          <w:b w:val="0"/>
          <w:i w:val="0"/>
          <w:color w:val="333333"/>
          <w:sz w:val="22"/>
        </w:rPr>
        <w:t>Kshetra addresses a highly lucrative B2B and B2C political intelligence market in India. The willingness to pay (WTP) in this segment is driven by critical electoral stakes.</w:t>
      </w:r>
    </w:p>
    <w:p>
      <w:pPr>
        <w:spacing w:before="240" w:after="120" w:line="276" w:lineRule="auto"/>
      </w:pPr>
      <w:r>
        <w:rPr>
          <w:rFonts w:ascii="Trebuchet MS" w:hAnsi="Trebuchet MS"/>
          <w:b/>
          <w:i w:val="0"/>
          <w:color w:val="184C78"/>
          <w:sz w:val="26"/>
        </w:rPr>
        <w:t>Three-Tier Commercial Engine:</w:t>
      </w:r>
    </w:p>
    <w:p>
      <w:pPr>
        <w:pStyle w:val="ListBullet"/>
        <w:spacing w:before="0" w:after="60" w:line="276" w:lineRule="auto"/>
      </w:pPr>
      <w:r>
        <w:rPr>
          <w:rFonts w:ascii="Calibri" w:hAnsi="Calibri"/>
          <w:b/>
          <w:i w:val="0"/>
          <w:color w:val="333333"/>
          <w:sz w:val="22"/>
        </w:rPr>
        <w:t xml:space="preserve">1. Campaign Manager (SaaS): </w:t>
      </w:r>
      <w:r>
        <w:rPr>
          <w:rFonts w:ascii="Calibri" w:hAnsi="Calibri"/>
          <w:b w:val="0"/>
          <w:i w:val="0"/>
          <w:color w:val="333333"/>
          <w:sz w:val="22"/>
        </w:rPr>
        <w:t>Targeted at state and national political parties. Features multi-constituent tracking, sentiment analysis, defection alerts, and real-time voter turnout indicators. Pricing: ₹10L to ₹1Cr+ per party per year.</w:t>
      </w:r>
    </w:p>
    <w:p>
      <w:pPr>
        <w:pStyle w:val="ListBullet"/>
        <w:spacing w:before="0" w:after="60" w:line="276" w:lineRule="auto"/>
      </w:pPr>
      <w:r>
        <w:rPr>
          <w:rFonts w:ascii="Calibri" w:hAnsi="Calibri"/>
          <w:b/>
          <w:i w:val="0"/>
          <w:color w:val="333333"/>
          <w:sz w:val="22"/>
        </w:rPr>
        <w:t xml:space="preserve">2. B2B Media &amp; API Licensing: </w:t>
      </w:r>
      <w:r>
        <w:rPr>
          <w:rFonts w:ascii="Calibri" w:hAnsi="Calibri"/>
          <w:b w:val="0"/>
          <w:i w:val="0"/>
          <w:color w:val="333333"/>
          <w:sz w:val="22"/>
        </w:rPr>
        <w:t>Targeted at journalists, news channels (NDTV, India Today, ABP), and corporate risk consultants. Features embeddable widgets, high-throughput APIs, and custom Delimitation impact reports. Pricing: ₹5L to ₹25L per house per year.</w:t>
      </w:r>
    </w:p>
    <w:p>
      <w:pPr>
        <w:pStyle w:val="ListBullet"/>
        <w:spacing w:before="0" w:after="60" w:line="276" w:lineRule="auto"/>
      </w:pPr>
      <w:r>
        <w:rPr>
          <w:rFonts w:ascii="Calibri" w:hAnsi="Calibri"/>
          <w:b/>
          <w:i w:val="0"/>
          <w:color w:val="333333"/>
          <w:sz w:val="22"/>
        </w:rPr>
        <w:t xml:space="preserve">3. Citizen Freemium App: </w:t>
      </w:r>
      <w:r>
        <w:rPr>
          <w:rFonts w:ascii="Calibri" w:hAnsi="Calibri"/>
          <w:b w:val="0"/>
          <w:i w:val="0"/>
          <w:color w:val="333333"/>
          <w:sz w:val="22"/>
        </w:rPr>
        <w:t>Targeted at aspiring politicians, political science students, and active citizens. Features ad-free deep analytics, comparative seat sheets, and direct access to legislator performance scorecards. Pricing: ₹99 to ₹999 per user per year.</w:t>
      </w:r>
    </w:p>
    <w:p>
      <w:pPr>
        <w:spacing w:before="240" w:after="120" w:line="276" w:lineRule="auto"/>
      </w:pPr>
      <w:r>
        <w:rPr>
          <w:rFonts w:ascii="Trebuchet MS" w:hAnsi="Trebuchet MS"/>
          <w:b/>
          <w:i w:val="0"/>
          <w:color w:val="184C78"/>
          <w:sz w:val="26"/>
        </w:rPr>
        <w:t>The Delimitation TAM Window:</w:t>
      </w:r>
    </w:p>
    <w:p>
      <w:pPr>
        <w:spacing w:before="0" w:after="120" w:line="276" w:lineRule="auto"/>
      </w:pPr>
      <w:r>
        <w:rPr>
          <w:rFonts w:ascii="Calibri" w:hAnsi="Calibri"/>
          <w:b w:val="0"/>
          <w:i w:val="0"/>
          <w:color w:val="333333"/>
          <w:sz w:val="22"/>
        </w:rPr>
        <w:t>The delimitation process creates an urgent strategic window of approximately 18 to 24 months. The Total Addressable Market (TAM) for delimitation intelligence is estimated at ₹17Cr to ₹57Cr. During this transition, a single state impact report for a party in Maharashtra (with 288 constituencies at stake) can easily command ₹25L in consultative value.</w:t>
      </w:r>
    </w:p>
    <w:p>
      <w:pPr>
        <w:spacing w:before="360" w:after="160" w:line="276" w:lineRule="auto"/>
        <w:pBdr>
          <w:bottom w:val="single" w:sz="6" w:space="4" w:color="0C2340"/>
        </w:pBdr>
      </w:pPr>
      <w:r>
        <w:rPr>
          <w:rFonts w:ascii="Trebuchet MS" w:hAnsi="Trebuchet MS"/>
          <w:b/>
          <w:i w:val="0"/>
          <w:color w:val="0C2340"/>
          <w:sz w:val="36"/>
        </w:rPr>
        <w:t>5. Legal &amp; Regulatory Compliance Matrix</w:t>
      </w:r>
    </w:p>
    <w:p>
      <w:pPr>
        <w:spacing w:before="0" w:after="120" w:line="276" w:lineRule="auto"/>
      </w:pPr>
      <w:r>
        <w:rPr>
          <w:rFonts w:ascii="Calibri" w:hAnsi="Calibri"/>
          <w:b w:val="0"/>
          <w:i w:val="0"/>
          <w:color w:val="333333"/>
          <w:sz w:val="22"/>
        </w:rPr>
        <w:t>Operating a political intelligence platform in India requires navigating a complex legal landscape. Kshetra's proactive architectural safeguards represent a significant compliance asset.</w:t>
      </w:r>
    </w:p>
    <w:tbl>
      <w:tblPr>
        <w:tblW w:type="auto" w:w="0"/>
        <w:jc w:val="center"/>
        <w:tblLook w:firstColumn="1" w:firstRow="1" w:lastColumn="0" w:lastRow="0" w:noHBand="0" w:noVBand="1" w:val="04A0"/>
      </w:tblPr>
      <w:tblGrid>
        <w:gridCol w:w="3120"/>
        <w:gridCol w:w="3120"/>
        <w:gridCol w:w="3120"/>
      </w:tblGrid>
      <w:tr>
        <w:tc>
          <w:tcPr>
            <w:tcW w:type="dxa" w:w="3120"/>
            <w:shd w:fill="0C2340"/>
            <w:tcMar>
              <w:top w:w="80" w:type="dxa"/>
              <w:bottom w:w="80" w:type="dxa"/>
              <w:left w:w="100" w:type="dxa"/>
              <w:right w:w="100" w:type="dxa"/>
            </w:tcMar>
          </w:tcPr>
          <w:p>
            <w:r>
              <w:rPr>
                <w:b/>
                <w:color w:val="FFFFFF"/>
              </w:rPr>
              <w:t>Legal / Regulatory Risk</w:t>
            </w:r>
          </w:p>
        </w:tc>
        <w:tc>
          <w:tcPr>
            <w:tcW w:type="dxa" w:w="3120"/>
            <w:shd w:fill="0C2340"/>
            <w:tcMar>
              <w:top w:w="80" w:type="dxa"/>
              <w:bottom w:w="80" w:type="dxa"/>
              <w:left w:w="100" w:type="dxa"/>
              <w:right w:w="100" w:type="dxa"/>
            </w:tcMar>
          </w:tcPr>
          <w:p>
            <w:r>
              <w:rPr>
                <w:b/>
                <w:color w:val="FFFFFF"/>
              </w:rPr>
              <w:t>Severity</w:t>
            </w:r>
          </w:p>
        </w:tc>
        <w:tc>
          <w:tcPr>
            <w:tcW w:type="dxa" w:w="3120"/>
            <w:shd w:fill="0C2340"/>
            <w:tcMar>
              <w:top w:w="80" w:type="dxa"/>
              <w:bottom w:w="80" w:type="dxa"/>
              <w:left w:w="100" w:type="dxa"/>
              <w:right w:w="100" w:type="dxa"/>
            </w:tcMar>
          </w:tcPr>
          <w:p>
            <w:r>
              <w:rPr>
                <w:b/>
                <w:color w:val="FFFFFF"/>
              </w:rPr>
              <w:t>Codebase Mitigation &amp; Safeguard</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IT Act Section 66A Successors</w:t>
            </w:r>
          </w:p>
        </w:tc>
        <w:tc>
          <w:tcPr>
            <w:tcW w:type="dxa" w:w="3120"/>
            <w:tcMar>
              <w:top w:w="80" w:type="dxa"/>
              <w:bottom w:w="80" w:type="dxa"/>
              <w:left w:w="100" w:type="dxa"/>
              <w:right w:w="100" w:type="dxa"/>
            </w:tcMar>
          </w:tcPr>
          <w:p>
            <w:pPr>
              <w:spacing w:after="40"/>
            </w:pPr>
            <w:r>
              <w:rPr>
                <w:rFonts w:ascii="Calibri" w:hAnsi="Calibri"/>
                <w:b w:val="0"/>
                <w:i w:val="0"/>
                <w:color w:val="B42828"/>
                <w:sz w:val="19"/>
              </w:rPr>
              <w:t>High</w:t>
            </w:r>
          </w:p>
        </w:tc>
        <w:tc>
          <w:tcPr>
            <w:tcW w:type="dxa" w:w="3120"/>
            <w:tcMar>
              <w:top w:w="80" w:type="dxa"/>
              <w:bottom w:w="80" w:type="dxa"/>
              <w:left w:w="100" w:type="dxa"/>
              <w:right w:w="100" w:type="dxa"/>
            </w:tcMar>
          </w:tcPr>
          <w:p>
            <w:pPr>
              <w:spacing w:after="40"/>
            </w:pPr>
            <w:r>
              <w:rPr>
                <w:rFonts w:ascii="Calibri" w:hAnsi="Calibri"/>
                <w:b w:val="0"/>
                <w:i w:val="0"/>
                <w:color w:val="333333"/>
                <w:sz w:val="19"/>
              </w:rPr>
              <w:t>Implemented the Content Creator Accountability (CCA) framework. Every content piece must be vouched, flagged, and linked to a verified KYC'd user, preventing viral anonymous rumor propagation.</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Criminal Defamation (IPC 499/500)</w:t>
            </w:r>
          </w:p>
        </w:tc>
        <w:tc>
          <w:tcPr>
            <w:tcW w:type="dxa" w:w="3120"/>
            <w:tcMar>
              <w:top w:w="80" w:type="dxa"/>
              <w:bottom w:w="80" w:type="dxa"/>
              <w:left w:w="100" w:type="dxa"/>
              <w:right w:w="100" w:type="dxa"/>
            </w:tcMar>
            <w:shd w:fill="F4F6F8"/>
          </w:tcPr>
          <w:p>
            <w:pPr>
              <w:spacing w:after="40"/>
            </w:pPr>
            <w:r>
              <w:rPr>
                <w:rFonts w:ascii="Calibri" w:hAnsi="Calibri"/>
                <w:b w:val="0"/>
                <w:i w:val="0"/>
                <w:color w:val="B42828"/>
                <w:sz w:val="19"/>
              </w:rPr>
              <w:t>High</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Strict reliance on official, public election affidavits (via MyNeta/ADR) and parliamentary records (sansad.in). Absolute sourcing attribution built into every legislator profile.</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RPA (Polling Hours Silence)</w:t>
            </w:r>
          </w:p>
        </w:tc>
        <w:tc>
          <w:tcPr>
            <w:tcW w:type="dxa" w:w="3120"/>
            <w:tcMar>
              <w:top w:w="80" w:type="dxa"/>
              <w:bottom w:w="80" w:type="dxa"/>
              <w:left w:w="100" w:type="dxa"/>
              <w:right w:w="100" w:type="dxa"/>
            </w:tcMar>
          </w:tcPr>
          <w:p>
            <w:pPr>
              <w:spacing w:after="40"/>
            </w:pPr>
            <w:r>
              <w:rPr>
                <w:rFonts w:ascii="Calibri" w:hAnsi="Calibri"/>
                <w:b w:val="0"/>
                <w:i w:val="0"/>
                <w:color w:val="B42828"/>
                <w:sz w:val="19"/>
              </w:rPr>
              <w:t>High</w:t>
            </w:r>
          </w:p>
        </w:tc>
        <w:tc>
          <w:tcPr>
            <w:tcW w:type="dxa" w:w="3120"/>
            <w:tcMar>
              <w:top w:w="80" w:type="dxa"/>
              <w:bottom w:w="80" w:type="dxa"/>
              <w:left w:w="100" w:type="dxa"/>
              <w:right w:w="100" w:type="dxa"/>
            </w:tcMar>
          </w:tcPr>
          <w:p>
            <w:pPr>
              <w:spacing w:after="40"/>
            </w:pPr>
            <w:r>
              <w:rPr>
                <w:rFonts w:ascii="Calibri" w:hAnsi="Calibri"/>
                <w:b w:val="0"/>
                <w:i w:val="0"/>
                <w:color w:val="333333"/>
                <w:sz w:val="19"/>
              </w:rPr>
              <w:t>Time-gated content controls. During the 48-hour pre-poll silence window, constituency feeds are automatically locked to static profiles, restricting user content amplification.</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DPDPA 2023 (Data Privacy)</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Medium</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Secure encryption of KYC data, phone numbers, and selfies. Dynamic permissions inside Supabase schemas ensure that citizen personal details are never exposed to the public.</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Web Scraping Terms</w:t>
            </w:r>
          </w:p>
        </w:tc>
        <w:tc>
          <w:tcPr>
            <w:tcW w:type="dxa" w:w="3120"/>
            <w:tcMar>
              <w:top w:w="80" w:type="dxa"/>
              <w:bottom w:w="80" w:type="dxa"/>
              <w:left w:w="100" w:type="dxa"/>
              <w:right w:w="100" w:type="dxa"/>
            </w:tcMar>
          </w:tcPr>
          <w:p>
            <w:pPr>
              <w:spacing w:after="40"/>
            </w:pPr>
            <w:r>
              <w:rPr>
                <w:rFonts w:ascii="Calibri" w:hAnsi="Calibri"/>
                <w:b w:val="0"/>
                <w:i w:val="0"/>
                <w:color w:val="333333"/>
                <w:sz w:val="19"/>
              </w:rPr>
              <w:t>Medium</w:t>
            </w:r>
          </w:p>
        </w:tc>
        <w:tc>
          <w:tcPr>
            <w:tcW w:type="dxa" w:w="3120"/>
            <w:tcMar>
              <w:top w:w="80" w:type="dxa"/>
              <w:bottom w:w="80" w:type="dxa"/>
              <w:left w:w="100" w:type="dxa"/>
              <w:right w:w="100" w:type="dxa"/>
            </w:tcMar>
          </w:tcPr>
          <w:p>
            <w:pPr>
              <w:spacing w:after="40"/>
            </w:pPr>
            <w:r>
              <w:rPr>
                <w:rFonts w:ascii="Calibri" w:hAnsi="Calibri"/>
                <w:b w:val="0"/>
                <w:i w:val="0"/>
                <w:color w:val="333333"/>
                <w:sz w:val="19"/>
              </w:rPr>
              <w:t>Public interest defense. Affidavit data is public domain. Background scrapers run via structured Puppeteer threads with appropriate delay timers to respect target site bandwidth.</w:t>
            </w:r>
          </w:p>
        </w:tc>
      </w:tr>
    </w:tbl>
    <w:p>
      <w:pPr>
        <w:spacing w:before="0" w:after="120" w:line="276" w:lineRule="auto"/>
      </w:pPr>
    </w:p>
    <w:p>
      <w:pPr>
        <w:spacing w:before="360" w:after="160" w:line="276" w:lineRule="auto"/>
        <w:pBdr>
          <w:bottom w:val="single" w:sz="6" w:space="4" w:color="0C2340"/>
        </w:pBdr>
      </w:pPr>
      <w:r>
        <w:rPr>
          <w:rFonts w:ascii="Trebuchet MS" w:hAnsi="Trebuchet MS"/>
          <w:b/>
          <w:i w:val="0"/>
          <w:color w:val="0C2340"/>
          <w:sz w:val="36"/>
        </w:rPr>
        <w:t>6. Investor Suitability &amp; Funding Path</w:t>
      </w:r>
    </w:p>
    <w:p>
      <w:pPr>
        <w:spacing w:before="0" w:after="120" w:line="276" w:lineRule="auto"/>
      </w:pPr>
      <w:r>
        <w:rPr>
          <w:rFonts w:ascii="Calibri" w:hAnsi="Calibri"/>
          <w:b w:val="0"/>
          <w:i w:val="0"/>
          <w:color w:val="333333"/>
          <w:sz w:val="22"/>
        </w:rPr>
        <w:t>With its robust codebase, extensive geographic coverage, and completed Parliament layer, Kshetra is highly positioned for an institutional seed round.</w:t>
      </w:r>
    </w:p>
    <w:p>
      <w:pPr>
        <w:spacing w:before="240" w:after="120" w:line="276" w:lineRule="auto"/>
      </w:pPr>
      <w:r>
        <w:rPr>
          <w:rFonts w:ascii="Trebuchet MS" w:hAnsi="Trebuchet MS"/>
          <w:b/>
          <w:i w:val="0"/>
          <w:color w:val="184C78"/>
          <w:sz w:val="26"/>
        </w:rPr>
        <w:t>Why Investors Will Say YES:</w:t>
      </w:r>
    </w:p>
    <w:p>
      <w:pPr>
        <w:pStyle w:val="ListBullet"/>
        <w:spacing w:before="0" w:after="60" w:line="276" w:lineRule="auto"/>
      </w:pPr>
      <w:r>
        <w:rPr>
          <w:rFonts w:ascii="Calibri" w:hAnsi="Calibri"/>
          <w:b/>
          <w:i w:val="0"/>
          <w:color w:val="333333"/>
          <w:sz w:val="22"/>
        </w:rPr>
        <w:t xml:space="preserve">Unbeatable Data Asset: </w:t>
      </w:r>
      <w:r>
        <w:rPr>
          <w:rFonts w:ascii="Calibri" w:hAnsi="Calibri"/>
          <w:b w:val="0"/>
          <w:i w:val="0"/>
          <w:color w:val="333333"/>
          <w:sz w:val="22"/>
        </w:rPr>
        <w:t>Having 22 states mapped with vector polygons and 8 states fully seeded with MLA profiles represents years of data acquisition and normalization effort.</w:t>
      </w:r>
    </w:p>
    <w:p>
      <w:pPr>
        <w:pStyle w:val="ListBullet"/>
        <w:spacing w:before="0" w:after="60" w:line="276" w:lineRule="auto"/>
      </w:pPr>
      <w:r>
        <w:rPr>
          <w:rFonts w:ascii="Calibri" w:hAnsi="Calibri"/>
          <w:b/>
          <w:i w:val="0"/>
          <w:color w:val="333333"/>
          <w:sz w:val="22"/>
        </w:rPr>
        <w:t xml:space="preserve">Perfect Electoral Timing: </w:t>
      </w:r>
      <w:r>
        <w:rPr>
          <w:rFonts w:ascii="Calibri" w:hAnsi="Calibri"/>
          <w:b w:val="0"/>
          <w:i w:val="0"/>
          <w:color w:val="333333"/>
          <w:sz w:val="22"/>
        </w:rPr>
        <w:t>The Census 2026 Delimitation creates an urgent buy-in catalyst for B2B political products. The market has zero direct competitors addressing this transition.</w:t>
      </w:r>
    </w:p>
    <w:p>
      <w:pPr>
        <w:pStyle w:val="ListBullet"/>
        <w:spacing w:before="0" w:after="60" w:line="276" w:lineRule="auto"/>
      </w:pPr>
      <w:r>
        <w:rPr>
          <w:rFonts w:ascii="Calibri" w:hAnsi="Calibri"/>
          <w:b/>
          <w:i w:val="0"/>
          <w:color w:val="333333"/>
          <w:sz w:val="22"/>
        </w:rPr>
        <w:t xml:space="preserve">High Technical Maturity: </w:t>
      </w:r>
      <w:r>
        <w:rPr>
          <w:rFonts w:ascii="Calibri" w:hAnsi="Calibri"/>
          <w:b w:val="0"/>
          <w:i w:val="0"/>
          <w:color w:val="333333"/>
          <w:sz w:val="22"/>
        </w:rPr>
        <w:t>Achieving a 0-error TypeScript build across multiple scrapers and mobile clients demonstrates technical rigor and low execution risk.</w:t>
      </w:r>
    </w:p>
    <w:p>
      <w:pPr>
        <w:spacing w:before="240" w:after="120" w:line="276" w:lineRule="auto"/>
      </w:pPr>
      <w:r>
        <w:rPr>
          <w:rFonts w:ascii="Trebuchet MS" w:hAnsi="Trebuchet MS"/>
          <w:b/>
          <w:i w:val="0"/>
          <w:color w:val="184C78"/>
          <w:sz w:val="26"/>
        </w:rPr>
        <w:t>Hiring &amp; Funding Recommendations:</w:t>
      </w:r>
    </w:p>
    <w:p>
      <w:pPr>
        <w:pStyle w:val="ListBullet"/>
        <w:spacing w:before="0" w:after="60" w:line="276" w:lineRule="auto"/>
      </w:pPr>
      <w:r>
        <w:rPr>
          <w:rFonts w:ascii="Calibri" w:hAnsi="Calibri"/>
          <w:b/>
          <w:i w:val="0"/>
          <w:color w:val="333333"/>
          <w:sz w:val="22"/>
        </w:rPr>
        <w:t xml:space="preserve">Capital Infusion: </w:t>
      </w:r>
      <w:r>
        <w:rPr>
          <w:rFonts w:ascii="Calibri" w:hAnsi="Calibri"/>
          <w:b w:val="0"/>
          <w:i w:val="0"/>
          <w:color w:val="333333"/>
          <w:sz w:val="22"/>
        </w:rPr>
        <w:t>Raise a Pre-Seed/Seed round of ₹1.5Cr - ₹3Cr from Blume, Stellaris, Prime, or civic-aligned angels. This capital will fund 18 months of runway for engineering and B2B client acquisition.</w:t>
      </w:r>
    </w:p>
    <w:p>
      <w:pPr>
        <w:pStyle w:val="ListBullet"/>
        <w:spacing w:before="0" w:after="60" w:line="276" w:lineRule="auto"/>
      </w:pPr>
      <w:r>
        <w:rPr>
          <w:rFonts w:ascii="Calibri" w:hAnsi="Calibri"/>
          <w:b/>
          <w:i w:val="0"/>
          <w:color w:val="333333"/>
          <w:sz w:val="22"/>
        </w:rPr>
        <w:t xml:space="preserve">Core Engineering Roles: </w:t>
      </w:r>
      <w:r>
        <w:rPr>
          <w:rFonts w:ascii="Calibri" w:hAnsi="Calibri"/>
          <w:b w:val="0"/>
          <w:i w:val="0"/>
          <w:color w:val="333333"/>
          <w:sz w:val="22"/>
        </w:rPr>
        <w:t>Hire 1 full-time Data Pipeline Engineer to maintain scrapers and 1 dedicated React Native/Next.js Engineer to build out B2B media widgets.</w:t>
      </w:r>
    </w:p>
    <w:p>
      <w:pPr>
        <w:pStyle w:val="ListBullet"/>
        <w:spacing w:before="0" w:after="60" w:line="276" w:lineRule="auto"/>
      </w:pPr>
      <w:r>
        <w:rPr>
          <w:rFonts w:ascii="Calibri" w:hAnsi="Calibri"/>
          <w:b/>
          <w:i w:val="0"/>
          <w:color w:val="333333"/>
          <w:sz w:val="22"/>
        </w:rPr>
        <w:t xml:space="preserve">GTM Focus: </w:t>
      </w:r>
      <w:r>
        <w:rPr>
          <w:rFonts w:ascii="Calibri" w:hAnsi="Calibri"/>
          <w:b w:val="0"/>
          <w:i w:val="0"/>
          <w:color w:val="333333"/>
          <w:sz w:val="22"/>
        </w:rPr>
        <w:t>Secure commercial pilots (LOIs) with at least two national or regional news networks (e.g. NDTV, ABP) to validate the API pricing before launching the citizen app.</w:t>
      </w:r>
    </w:p>
    <w:p>
      <w:pPr>
        <w:spacing w:before="360" w:after="160" w:line="276" w:lineRule="auto"/>
        <w:pBdr>
          <w:bottom w:val="single" w:sz="6" w:space="4" w:color="0C2340"/>
        </w:pBdr>
      </w:pPr>
      <w:r>
        <w:rPr>
          <w:rFonts w:ascii="Trebuchet MS" w:hAnsi="Trebuchet MS"/>
          <w:b/>
          <w:i w:val="0"/>
          <w:color w:val="0C2340"/>
          <w:sz w:val="36"/>
        </w:rPr>
        <w:t>7. The 10 Most Critical Platform Steps</w:t>
      </w:r>
    </w:p>
    <w:p>
      <w:pPr>
        <w:spacing w:before="0" w:after="120" w:line="276" w:lineRule="auto"/>
      </w:pPr>
      <w:r>
        <w:rPr>
          <w:rFonts w:ascii="Calibri" w:hAnsi="Calibri"/>
          <w:b w:val="0"/>
          <w:i w:val="0"/>
          <w:color w:val="333333"/>
          <w:sz w:val="22"/>
        </w:rPr>
        <w:t>To transition Kshetra from an elite prototype into a market-dominant enterprise, the following ten steps must be executed in order of priority:</w:t>
      </w:r>
    </w:p>
    <w:tbl>
      <w:tblPr>
        <w:tblW w:type="auto" w:w="0"/>
        <w:jc w:val="center"/>
        <w:tblLook w:firstColumn="1" w:firstRow="1" w:lastColumn="0" w:lastRow="0" w:noHBand="0" w:noVBand="1" w:val="04A0"/>
      </w:tblPr>
      <w:tblGrid>
        <w:gridCol w:w="3120"/>
        <w:gridCol w:w="3120"/>
        <w:gridCol w:w="3120"/>
      </w:tblGrid>
      <w:tr>
        <w:tc>
          <w:tcPr>
            <w:tcW w:type="dxa" w:w="3120"/>
            <w:shd w:fill="0C2340"/>
            <w:tcMar>
              <w:top w:w="80" w:type="dxa"/>
              <w:bottom w:w="80" w:type="dxa"/>
              <w:left w:w="100" w:type="dxa"/>
              <w:right w:w="100" w:type="dxa"/>
            </w:tcMar>
          </w:tcPr>
          <w:p>
            <w:r>
              <w:rPr>
                <w:b/>
                <w:color w:val="FFFFFF"/>
              </w:rPr>
              <w:t>#</w:t>
            </w:r>
          </w:p>
        </w:tc>
        <w:tc>
          <w:tcPr>
            <w:tcW w:type="dxa" w:w="3120"/>
            <w:shd w:fill="0C2340"/>
            <w:tcMar>
              <w:top w:w="80" w:type="dxa"/>
              <w:bottom w:w="80" w:type="dxa"/>
              <w:left w:w="100" w:type="dxa"/>
              <w:right w:w="100" w:type="dxa"/>
            </w:tcMar>
          </w:tcPr>
          <w:p>
            <w:r>
              <w:rPr>
                <w:b/>
                <w:color w:val="FFFFFF"/>
              </w:rPr>
              <w:t>Critical Step</w:t>
            </w:r>
          </w:p>
        </w:tc>
        <w:tc>
          <w:tcPr>
            <w:tcW w:type="dxa" w:w="3120"/>
            <w:shd w:fill="0C2340"/>
            <w:tcMar>
              <w:top w:w="80" w:type="dxa"/>
              <w:bottom w:w="80" w:type="dxa"/>
              <w:left w:w="100" w:type="dxa"/>
              <w:right w:w="100" w:type="dxa"/>
            </w:tcMar>
          </w:tcPr>
          <w:p>
            <w:r>
              <w:rPr>
                <w:b/>
                <w:color w:val="FFFFFF"/>
              </w:rPr>
              <w:t>Strategic Objective &amp; Details</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1</w:t>
            </w:r>
          </w:p>
        </w:tc>
        <w:tc>
          <w:tcPr>
            <w:tcW w:type="dxa" w:w="3120"/>
            <w:tcMar>
              <w:top w:w="80" w:type="dxa"/>
              <w:bottom w:w="80" w:type="dxa"/>
              <w:left w:w="100" w:type="dxa"/>
              <w:right w:w="100" w:type="dxa"/>
            </w:tcMar>
          </w:tcPr>
          <w:p>
            <w:pPr>
              <w:spacing w:after="40"/>
            </w:pPr>
            <w:r>
              <w:rPr>
                <w:rFonts w:ascii="Calibri" w:hAnsi="Calibri"/>
                <w:b w:val="0"/>
                <w:i w:val="0"/>
                <w:color w:val="333333"/>
                <w:sz w:val="19"/>
              </w:rPr>
              <w:t>Wire KL, WB, UP, TN Seeds</w:t>
            </w:r>
          </w:p>
        </w:tc>
        <w:tc>
          <w:tcPr>
            <w:tcW w:type="dxa" w:w="3120"/>
            <w:tcMar>
              <w:top w:w="80" w:type="dxa"/>
              <w:bottom w:w="80" w:type="dxa"/>
              <w:left w:w="100" w:type="dxa"/>
              <w:right w:w="100" w:type="dxa"/>
            </w:tcMar>
          </w:tcPr>
          <w:p>
            <w:pPr>
              <w:spacing w:after="40"/>
            </w:pPr>
            <w:r>
              <w:rPr>
                <w:rFonts w:ascii="Calibri" w:hAnsi="Calibri"/>
                <w:b w:val="0"/>
                <w:i w:val="0"/>
                <w:color w:val="333333"/>
                <w:sz w:val="19"/>
              </w:rPr>
              <w:t>Integrate the completed MLA profiles for Kerala, West Bengal, Uttar Pradesh, and Tamil Nadu into `stateDataAdapter.ts` to make them instantly accessible in the app UI.</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2</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Secure B2B News Pilots</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Engage with editorial teams of major news networks. Secure commitments to license Kshetra's interactive widgets for their prime-time election coverage.</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3</w:t>
            </w:r>
          </w:p>
        </w:tc>
        <w:tc>
          <w:tcPr>
            <w:tcW w:type="dxa" w:w="3120"/>
            <w:tcMar>
              <w:top w:w="80" w:type="dxa"/>
              <w:bottom w:w="80" w:type="dxa"/>
              <w:left w:w="100" w:type="dxa"/>
              <w:right w:w="100" w:type="dxa"/>
            </w:tcMar>
          </w:tcPr>
          <w:p>
            <w:pPr>
              <w:spacing w:after="40"/>
            </w:pPr>
            <w:r>
              <w:rPr>
                <w:rFonts w:ascii="Calibri" w:hAnsi="Calibri"/>
                <w:b w:val="0"/>
                <w:i w:val="0"/>
                <w:color w:val="333333"/>
                <w:sz w:val="19"/>
              </w:rPr>
              <w:t>Expand KA &amp; MH Demographics</w:t>
            </w:r>
          </w:p>
        </w:tc>
        <w:tc>
          <w:tcPr>
            <w:tcW w:type="dxa" w:w="3120"/>
            <w:tcMar>
              <w:top w:w="80" w:type="dxa"/>
              <w:bottom w:w="80" w:type="dxa"/>
              <w:left w:w="100" w:type="dxa"/>
              <w:right w:w="100" w:type="dxa"/>
            </w:tcMar>
          </w:tcPr>
          <w:p>
            <w:pPr>
              <w:spacing w:after="40"/>
            </w:pPr>
            <w:r>
              <w:rPr>
                <w:rFonts w:ascii="Calibri" w:hAnsi="Calibri"/>
                <w:b w:val="0"/>
                <w:i w:val="0"/>
                <w:color w:val="333333"/>
                <w:sz w:val="19"/>
              </w:rPr>
              <w:t>Complete the remaining demographic profiles for Karnataka and Maharashtra. The files exist in `data/seed/` but are currently in a partial state.</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4</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Scrape Remaining Rajya Sabha MPs</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Run the Sansad.in scraper pipeline to fetch the remaining 103 Rajya Sabha members to achieve a 100% complete parliamentary dataset.</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5</w:t>
            </w:r>
          </w:p>
        </w:tc>
        <w:tc>
          <w:tcPr>
            <w:tcW w:type="dxa" w:w="3120"/>
            <w:tcMar>
              <w:top w:w="80" w:type="dxa"/>
              <w:bottom w:w="80" w:type="dxa"/>
              <w:left w:w="100" w:type="dxa"/>
              <w:right w:w="100" w:type="dxa"/>
            </w:tcMar>
          </w:tcPr>
          <w:p>
            <w:pPr>
              <w:spacing w:after="40"/>
            </w:pPr>
            <w:r>
              <w:rPr>
                <w:rFonts w:ascii="Calibri" w:hAnsi="Calibri"/>
                <w:b w:val="0"/>
                <w:i w:val="0"/>
                <w:color w:val="333333"/>
                <w:sz w:val="19"/>
              </w:rPr>
              <w:t>Deploy Web Embeds</w:t>
            </w:r>
          </w:p>
        </w:tc>
        <w:tc>
          <w:tcPr>
            <w:tcW w:type="dxa" w:w="3120"/>
            <w:tcMar>
              <w:top w:w="80" w:type="dxa"/>
              <w:bottom w:w="80" w:type="dxa"/>
              <w:left w:w="100" w:type="dxa"/>
              <w:right w:w="100" w:type="dxa"/>
            </w:tcMar>
          </w:tcPr>
          <w:p>
            <w:pPr>
              <w:spacing w:after="40"/>
            </w:pPr>
            <w:r>
              <w:rPr>
                <w:rFonts w:ascii="Calibri" w:hAnsi="Calibri"/>
                <w:b w:val="0"/>
                <w:i w:val="0"/>
                <w:color w:val="333333"/>
                <w:sz w:val="19"/>
              </w:rPr>
              <w:t>Build a Next.js web application wrapper specifically optimized for embedding interactive constituency maps into news articles.</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6</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Run Delimitation Marketing</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Launch the Delimitation Simulator on ProductHunt and Twitter. Write three data-driven pieces on predicted constituency changes to build organic virality.</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7</w:t>
            </w:r>
          </w:p>
        </w:tc>
        <w:tc>
          <w:tcPr>
            <w:tcW w:type="dxa" w:w="3120"/>
            <w:tcMar>
              <w:top w:w="80" w:type="dxa"/>
              <w:bottom w:w="80" w:type="dxa"/>
              <w:left w:w="100" w:type="dxa"/>
              <w:right w:w="100" w:type="dxa"/>
            </w:tcMar>
          </w:tcPr>
          <w:p>
            <w:pPr>
              <w:spacing w:after="40"/>
            </w:pPr>
            <w:r>
              <w:rPr>
                <w:rFonts w:ascii="Calibri" w:hAnsi="Calibri"/>
                <w:b w:val="0"/>
                <w:i w:val="0"/>
                <w:color w:val="333333"/>
                <w:sz w:val="19"/>
              </w:rPr>
              <w:t>Complete OTP KYC flow</w:t>
            </w:r>
          </w:p>
        </w:tc>
        <w:tc>
          <w:tcPr>
            <w:tcW w:type="dxa" w:w="3120"/>
            <w:tcMar>
              <w:top w:w="80" w:type="dxa"/>
              <w:bottom w:w="80" w:type="dxa"/>
              <w:left w:w="100" w:type="dxa"/>
              <w:right w:w="100" w:type="dxa"/>
            </w:tcMar>
          </w:tcPr>
          <w:p>
            <w:pPr>
              <w:spacing w:after="40"/>
            </w:pPr>
            <w:r>
              <w:rPr>
                <w:rFonts w:ascii="Calibri" w:hAnsi="Calibri"/>
                <w:b w:val="0"/>
                <w:i w:val="0"/>
                <w:color w:val="333333"/>
                <w:sz w:val="19"/>
              </w:rPr>
              <w:t>Implement the SMS verification gateway for the KYC onboarding, securing the legal integrity of the Content Creator Accountability pipeline.</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8</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Connect Sentry Monitoring</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Configure Sentry monitoring across the API and Mobile clients. Resolving real-time production issues is vital before scaling.</w:t>
            </w:r>
          </w:p>
        </w:tc>
      </w:tr>
      <w:tr>
        <w:tc>
          <w:tcPr>
            <w:tcW w:type="dxa" w:w="3120"/>
            <w:tcMar>
              <w:top w:w="80" w:type="dxa"/>
              <w:bottom w:w="80" w:type="dxa"/>
              <w:left w:w="100" w:type="dxa"/>
              <w:right w:w="100" w:type="dxa"/>
            </w:tcMar>
          </w:tcPr>
          <w:p>
            <w:pPr>
              <w:spacing w:after="40"/>
            </w:pPr>
            <w:r>
              <w:rPr>
                <w:rFonts w:ascii="Calibri" w:hAnsi="Calibri"/>
                <w:b w:val="0"/>
                <w:i w:val="0"/>
                <w:color w:val="333333"/>
                <w:sz w:val="19"/>
              </w:rPr>
              <w:t>9</w:t>
            </w:r>
          </w:p>
        </w:tc>
        <w:tc>
          <w:tcPr>
            <w:tcW w:type="dxa" w:w="3120"/>
            <w:tcMar>
              <w:top w:w="80" w:type="dxa"/>
              <w:bottom w:w="80" w:type="dxa"/>
              <w:left w:w="100" w:type="dxa"/>
              <w:right w:w="100" w:type="dxa"/>
            </w:tcMar>
          </w:tcPr>
          <w:p>
            <w:pPr>
              <w:spacing w:after="40"/>
            </w:pPr>
            <w:r>
              <w:rPr>
                <w:rFonts w:ascii="Calibri" w:hAnsi="Calibri"/>
                <w:b w:val="0"/>
                <w:i w:val="0"/>
                <w:color w:val="333333"/>
                <w:sz w:val="19"/>
              </w:rPr>
              <w:t>Optimize Native Asset Sizes</w:t>
            </w:r>
          </w:p>
        </w:tc>
        <w:tc>
          <w:tcPr>
            <w:tcW w:type="dxa" w:w="3120"/>
            <w:tcMar>
              <w:top w:w="80" w:type="dxa"/>
              <w:bottom w:w="80" w:type="dxa"/>
              <w:left w:w="100" w:type="dxa"/>
              <w:right w:w="100" w:type="dxa"/>
            </w:tcMar>
          </w:tcPr>
          <w:p>
            <w:pPr>
              <w:spacing w:after="40"/>
            </w:pPr>
            <w:r>
              <w:rPr>
                <w:rFonts w:ascii="Calibri" w:hAnsi="Calibri"/>
                <w:b w:val="0"/>
                <w:i w:val="0"/>
                <w:color w:val="333333"/>
                <w:sz w:val="19"/>
              </w:rPr>
              <w:t>Audit and compress the megabyte-scale GeoJSON files inside `apps/mobile/data/` to reduce initial application download sizes.</w:t>
            </w:r>
          </w:p>
        </w:tc>
      </w:tr>
      <w:tr>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10</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Apply for Section 8 NGO Status</w:t>
            </w:r>
          </w:p>
        </w:tc>
        <w:tc>
          <w:tcPr>
            <w:tcW w:type="dxa" w:w="3120"/>
            <w:tcMar>
              <w:top w:w="80" w:type="dxa"/>
              <w:bottom w:w="80" w:type="dxa"/>
              <w:left w:w="100" w:type="dxa"/>
              <w:right w:w="100" w:type="dxa"/>
            </w:tcMar>
            <w:shd w:fill="F4F6F8"/>
          </w:tcPr>
          <w:p>
            <w:pPr>
              <w:spacing w:after="40"/>
            </w:pPr>
            <w:r>
              <w:rPr>
                <w:rFonts w:ascii="Calibri" w:hAnsi="Calibri"/>
                <w:b w:val="0"/>
                <w:i w:val="0"/>
                <w:color w:val="333333"/>
                <w:sz w:val="19"/>
              </w:rPr>
              <w:t>Establish a non-profit arm for the free citizen civic layer, securing long-term credibility and tax advantages while keeping the SaaS arm commercial.</w:t>
            </w:r>
          </w:p>
        </w:tc>
      </w:tr>
    </w:tbl>
    <w:p>
      <w:pPr>
        <w:spacing w:before="0" w:after="240" w:line="276" w:lineRule="auto"/>
      </w:pPr>
    </w:p>
    <w:p>
      <w:pPr>
        <w:spacing w:before="240" w:after="120" w:line="276" w:lineRule="auto"/>
      </w:pPr>
      <w:r>
        <w:rPr>
          <w:rFonts w:ascii="Trebuchet MS" w:hAnsi="Trebuchet MS"/>
          <w:b/>
          <w:i w:val="0"/>
          <w:color w:val="184C78"/>
          <w:sz w:val="26"/>
        </w:rPr>
        <w:t>Final Verdict:</w:t>
      </w:r>
    </w:p>
    <w:p>
      <w:pPr>
        <w:spacing w:before="0" w:after="120" w:line="276" w:lineRule="auto"/>
      </w:pPr>
      <w:r>
        <w:rPr>
          <w:rFonts w:ascii="Calibri" w:hAnsi="Calibri"/>
          <w:b/>
          <w:i w:val="0"/>
          <w:color w:val="333333"/>
          <w:sz w:val="22"/>
        </w:rPr>
        <w:t xml:space="preserve">Kshetra is a sleeping giant. </w:t>
      </w:r>
      <w:r>
        <w:rPr>
          <w:rFonts w:ascii="Calibri" w:hAnsi="Calibri"/>
          <w:b w:val="0"/>
          <w:i w:val="0"/>
          <w:color w:val="333333"/>
          <w:sz w:val="22"/>
        </w:rPr>
        <w:t>The codebase and strategic documentation prove that Kshetra is a product of exceptional engineering and visionary strategy. By resolving all TypeScript compilation errors, implementing comprehensive boundary data for 22 states, and seeding thousands of profiles alongside 100% Lok Sabha coverage, the platform is remarkably mature.</w:t>
      </w:r>
    </w:p>
    <w:p>
      <w:pPr>
        <w:spacing w:before="0" w:after="120" w:line="276" w:lineRule="auto"/>
      </w:pPr>
      <w:r>
        <w:rPr>
          <w:rFonts w:ascii="Calibri" w:hAnsi="Calibri"/>
          <w:b/>
          <w:i w:val="0"/>
          <w:color w:val="333333"/>
          <w:sz w:val="22"/>
        </w:rPr>
        <w:t xml:space="preserve">Verdict: A+ on Technical Foundation. </w:t>
      </w:r>
      <w:r>
        <w:rPr>
          <w:rFonts w:ascii="Calibri" w:hAnsi="Calibri"/>
          <w:b w:val="0"/>
          <w:i w:val="0"/>
          <w:color w:val="333333"/>
          <w:sz w:val="22"/>
        </w:rPr>
        <w:t>The core task now is not further feature bloat, but the seamless commercialization of these incredible assets. By packaging these features for media networks and political parties, Kshetra will establish itself as India's ultimate political intelligence engine.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808080"/>
        <w:sz w:val="18"/>
      </w:rPr>
      <w:t xml:space="preserve">KSHETRA 360° Platform Analysis  |  Page </w:t>
    </w:r>
    <w:r>
      <w:rPr>
        <w:rFonts w:ascii="Calibri" w:hAnsi="Calibri"/>
        <w:b w:val="0"/>
        <w:i w:val="0"/>
        <w:color w:val="808080"/>
        <w:sz w:val="18"/>
      </w:rPr>
      <w:t>[Draft - Internal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