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7535"/>
        <w:gridCol w:w="2931"/>
      </w:tblGrid>
      <w:tr>
        <w:trPr>
          <w:cantSplit/>
        </w:trPr>
        <w:tc>
          <w:tcPr>
            <w:tcW w:type="dxa" w:w="75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676F"/>
                <w:sz w:val="15"/>
                <w:szCs w:val="15"/>
              </w:rPr>
              <w:t xml:space="preserve">VARIA CONNECT  ·  REPORTING FORMS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30"/>
                <w:szCs w:val="30"/>
              </w:rPr>
              <w:t xml:space="preserve">Incident &amp; Near-Miss Report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76F"/>
                <w:sz w:val="20"/>
                <w:szCs w:val="20"/>
              </w:rPr>
              <w:t xml:space="preserve">Laporan Insiden dan Nyaris Kemalangan</w:t>
            </w:r>
          </w:p>
        </w:tc>
        <w:tc>
          <w:tcPr>
            <w:tcW w:type="dxa" w:w="293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5B676F"/>
                <w:sz w:val="15"/>
                <w:szCs w:val="15"/>
              </w:rPr>
              <w:t xml:space="preserve">Form </w:t>
            </w:r>
            <w:r>
              <w:rPr>
                <w:rFonts w:ascii="Arial" w:cs="Arial" w:eastAsia="Arial" w:hAnsi="Arial"/>
                <w:b/>
                <w:bCs/>
                <w:color w:val="1B2328"/>
                <w:sz w:val="18"/>
                <w:szCs w:val="18"/>
              </w:rPr>
              <w:t xml:space="preserve">REP-INC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5"/>
                <w:szCs w:val="15"/>
              </w:rPr>
              <w:t xml:space="preserve">Company logo</w:t>
            </w:r>
          </w:p>
        </w:tc>
      </w:tr>
    </w:tbl>
    <w:p>
      <w:pPr>
        <w:pBdr>
          <w:bottom w:val="single" w:color="F2A900" w:sz="18" w:space="1"/>
        </w:pBdr>
        <w:spacing w:after="8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1B2328"/>
          <w:sz w:val="17"/>
          <w:szCs w:val="17"/>
        </w:rPr>
        <w:t xml:space="preserve">When to use: </w:t>
      </w:r>
      <w:r>
        <w:rPr>
          <w:rFonts w:ascii="Arial" w:cs="Arial" w:eastAsia="Arial" w:hAnsi="Arial"/>
          <w:color w:val="1B2328"/>
          <w:sz w:val="17"/>
          <w:szCs w:val="17"/>
        </w:rPr>
        <w:t xml:space="preserve">For every injury, near miss, dangerous occurrence or property damage. Under NADOPOD 2004, a death, serious bodily injury, or injury keeping a worker off work for more than 4 days must be reported to the nearest DOSH (JKKP) office by the quickest means, followed by form JKKP 6 within 7 days.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B2328"/>
          <w:sz w:val="17"/>
          <w:szCs w:val="17"/>
        </w:rPr>
        <w:t xml:space="preserve">Validity / frequency: </w:t>
      </w:r>
      <w:r>
        <w:rPr>
          <w:rFonts w:ascii="Arial" w:cs="Arial" w:eastAsia="Arial" w:hAnsi="Arial"/>
          <w:color w:val="1B2328"/>
          <w:sz w:val="17"/>
          <w:szCs w:val="17"/>
        </w:rPr>
        <w:t xml:space="preserve">Report immediately; investigation within 48 hours</w:t>
      </w:r>
    </w:p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WHAT HAPPENED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558"/>
        <w:gridCol w:w="6908"/>
      </w:tblGrid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Report no.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Date of incident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Time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Exact location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Type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>☐ Near miss    ☐ First aid case    ☐ Medical treatment case    ☐ Lost time injury    ☐ Dangerous occurrence    ☐ Fatality    ☐ Property damage    ☐ Environmental</w:t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Description (what, how, sequence of events)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Immediate action taken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PERSON(S) INVOLVED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1744"/>
        <w:gridCol w:w="1744"/>
        <w:gridCol w:w="1744"/>
        <w:gridCol w:w="1744"/>
        <w:gridCol w:w="1744"/>
        <w:gridCol w:w="1746"/>
      </w:tblGrid>
      <w:tr>
        <w:trPr>
          <w:cantSplit/>
          <w:tblHeader/>
        </w:trPr>
        <w:tc>
          <w:tcPr>
            <w:tcW w:type="dxa" w:w="1744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Name</w:t>
            </w:r>
          </w:p>
        </w:tc>
        <w:tc>
          <w:tcPr>
            <w:tcW w:type="dxa" w:w="1744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Company</w:t>
            </w:r>
          </w:p>
        </w:tc>
        <w:tc>
          <w:tcPr>
            <w:tcW w:type="dxa" w:w="1744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Trade</w:t>
            </w:r>
          </w:p>
        </w:tc>
        <w:tc>
          <w:tcPr>
            <w:tcW w:type="dxa" w:w="1744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Injury (part of body / nature)</w:t>
            </w:r>
          </w:p>
        </w:tc>
        <w:tc>
          <w:tcPr>
            <w:tcW w:type="dxa" w:w="1744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Treatment / hospital</w:t>
            </w:r>
          </w:p>
        </w:tc>
        <w:tc>
          <w:tcPr>
            <w:tcW w:type="dxa" w:w="1746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MC days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17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17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17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7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7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WITNESSES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488"/>
        <w:gridCol w:w="3488"/>
        <w:gridCol w:w="3490"/>
      </w:tblGrid>
      <w:tr>
        <w:trPr>
          <w:cantSplit/>
          <w:tblHeader/>
        </w:trPr>
        <w:tc>
          <w:tcPr>
            <w:tcW w:type="dxa" w:w="348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Name</w:t>
            </w:r>
          </w:p>
        </w:tc>
        <w:tc>
          <w:tcPr>
            <w:tcW w:type="dxa" w:w="348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Company</w:t>
            </w:r>
          </w:p>
        </w:tc>
        <w:tc>
          <w:tcPr>
            <w:tcW w:type="dxa" w:w="3490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Contact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34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4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4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34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4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4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34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4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4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INVESTIGATION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558"/>
        <w:gridCol w:w="6908"/>
      </w:tblGrid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Immediate causes (unsafe act / unsafe condition)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Root causes (5 Whys)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Photos / evidence reference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CORRECTIVE AND PREVENTIVE ACTIONS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5233"/>
        <w:gridCol w:w="2093"/>
        <w:gridCol w:w="1569"/>
        <w:gridCol w:w="1571"/>
      </w:tblGrid>
      <w:tr>
        <w:trPr>
          <w:cantSplit/>
          <w:tblHeader/>
        </w:trPr>
        <w:tc>
          <w:tcPr>
            <w:tcW w:type="dxa" w:w="523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Action</w:t>
            </w:r>
          </w:p>
        </w:tc>
        <w:tc>
          <w:tcPr>
            <w:tcW w:type="dxa" w:w="209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PIC</w:t>
            </w:r>
          </w:p>
        </w:tc>
        <w:tc>
          <w:tcPr>
            <w:tcW w:type="dxa" w:w="1569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Due</w:t>
            </w:r>
          </w:p>
        </w:tc>
        <w:tc>
          <w:tcPr>
            <w:tcW w:type="dxa" w:w="157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Status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5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5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5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5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5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5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5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5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NOTIFICATION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523"/>
        <w:gridCol w:w="5546"/>
        <w:gridCol w:w="732"/>
        <w:gridCol w:w="732"/>
        <w:gridCol w:w="732"/>
        <w:gridCol w:w="2201"/>
      </w:tblGrid>
      <w:tr>
        <w:trPr>
          <w:cantSplit/>
          <w:tblHeader/>
        </w:trPr>
        <w:tc>
          <w:tcPr>
            <w:tcW w:type="dxa" w:w="52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No.</w:t>
            </w:r>
          </w:p>
        </w:tc>
        <w:tc>
          <w:tcPr>
            <w:tcW w:type="dxa" w:w="5546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Item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Yes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N/A</w:t>
            </w:r>
          </w:p>
        </w:tc>
        <w:tc>
          <w:tcPr>
            <w:tcW w:type="dxa" w:w="220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Remarks</w:t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1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Client / consultant informed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2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DOSH (JKKP) notified by quickest means (if NADOPOD reportable)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3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JKKP 6 submitted within 7 days (if reportable)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4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PERKESO (SOCSO) claim form started (if injury)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SIGN-OFF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872"/>
        <w:gridCol w:w="2407"/>
        <w:gridCol w:w="2302"/>
        <w:gridCol w:w="1885"/>
      </w:tblGrid>
      <w:tr>
        <w:trPr>
          <w:cantSplit/>
          <w:tblHeader/>
        </w:trPr>
        <w:tc>
          <w:tcPr>
            <w:tcW w:type="dxa" w:w="387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Role</w:t>
            </w:r>
          </w:p>
        </w:tc>
        <w:tc>
          <w:tcPr>
            <w:tcW w:type="dxa" w:w="2407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Name</w:t>
            </w:r>
          </w:p>
        </w:tc>
        <w:tc>
          <w:tcPr>
            <w:tcW w:type="dxa" w:w="230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Signature</w:t>
            </w:r>
          </w:p>
        </w:tc>
        <w:tc>
          <w:tcPr>
            <w:tcW w:type="dxa" w:w="188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Date &amp; time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Reported by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Investigated by (SHO)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Reviewed by (project manager)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0"/>
      </w:pPr>
      <w:r>
        <w:rPr>
          <w:rFonts w:ascii="Arial" w:cs="Arial" w:eastAsia="Arial" w:hAnsi="Arial"/>
          <w:color w:val="5B676F"/>
          <w:sz w:val="15"/>
          <w:szCs w:val="15"/>
        </w:rPr>
        <w:t xml:space="preserve">Keep the original at the site office for the duration of the project. Display permits at the work area while work is in progress.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0"/>
      <w:jc w:val="center"/>
    </w:pPr>
    <w:r>
      <w:rPr>
        <w:rFonts w:ascii="Arial" w:cs="Arial" w:eastAsia="Arial" w:hAnsi="Arial"/>
        <w:color w:val="5B676F"/>
        <w:sz w:val="14"/>
        <w:szCs w:val="14"/>
      </w:rPr>
      <w:t xml:space="preserve">Varia Connect  ·  REP-INC  ·  Draft template: SHO to review before use  ·  Page </w:t>
    </w:r>
    <w:r>
      <w:rPr>
        <w:rFonts w:ascii="Arial" w:cs="Arial" w:eastAsia="Arial" w:hAnsi="Arial"/>
        <w:color w:val="5B676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6F"/>
        <w:sz w:val="14"/>
        <w:szCs w:val="14"/>
      </w:rPr>
      <w:t xml:space="preserve"> of </w:t>
    </w:r>
    <w:r>
      <w:rPr>
        <w:rFonts w:ascii="Arial" w:cs="Arial" w:eastAsia="Arial" w:hAnsi="Arial"/>
        <w:color w:val="5B676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REP-INC Incident &amp; Near-Miss Report</dc:title>
  <dc:creator>Varia Connect</dc:creator>
  <dc:description>For every injury, near miss, dangerous occurrence or property damage. Under NADOPOD 2004, a death, serious bodily injury, or injury keeping a worker off work for more than 4 days must be reported to the nearest DOSH (JKKP) office by the quickest means, followed by form JKKP 6 within 7 days.</dc:description>
  <cp:lastModifiedBy>Un-named</cp:lastModifiedBy>
  <cp:revision>1</cp:revision>
  <dcterms:created xsi:type="dcterms:W3CDTF">2026-10-16T09:07:08.411Z</dcterms:created>
  <dcterms:modified xsi:type="dcterms:W3CDTF">2026-10-16T09:07:08.411Z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