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36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1. 研究の目的と背景</w:t>
      </w:r>
    </w:p>
    <w:p w:rsidR="00000000" w:rsidDel="00000000" w:rsidP="00000000" w:rsidRDefault="00000000" w:rsidRPr="00000000" w14:paraId="00000002">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1.1 背景</w:t>
      </w:r>
    </w:p>
    <w:p w:rsidR="00000000" w:rsidDel="00000000" w:rsidP="00000000" w:rsidRDefault="00000000" w:rsidRPr="00000000" w14:paraId="00000003">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うつ病は世界で約2億8,000万人が罹患する主要な精神疾患であり、障害調整生存年（DALYs）において上位に位置する疾患である。近年、うつ病のリスク因子として逆境的小児期体験（Adverse Childhood Experiences; ACEs）が注目されている。ACEsとは、18歳未満の時期に経験した身体的・精神的虐待、ネグレクト、家庭内の機能不全（親の精神疾患、物質依存、DV、離婚、収監等）を指す概念であり、1998年のFelittiらによる画期的な研究以来、成人期の多様な健康アウトカムとの関連が繰り返し実証されてきた。</w:t>
      </w:r>
      <w:r w:rsidDel="00000000" w:rsidR="00000000" w:rsidRPr="00000000">
        <w:rPr>
          <w:rtl w:val="0"/>
        </w:rPr>
      </w:r>
    </w:p>
    <w:p w:rsidR="00000000" w:rsidDel="00000000" w:rsidP="00000000" w:rsidRDefault="00000000" w:rsidRPr="00000000" w14:paraId="00000004">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一方、健康の社会的決定要因（Social Determinants of Health; SDOH）もまた、メンタルヘルスに大きな影響を及ぼすことが明らかになっている。所得水準、雇用状態、教育水準、住居の安定性、社会的孤立、医療アクセスの障壁などは、うつ病の発症・遷延化に寄与する構造的リスク因子として認識されている。</w:t>
      </w:r>
      <w:r w:rsidDel="00000000" w:rsidR="00000000" w:rsidRPr="00000000">
        <w:rPr>
          <w:rtl w:val="0"/>
        </w:rPr>
      </w:r>
    </w:p>
    <w:p w:rsidR="00000000" w:rsidDel="00000000" w:rsidP="00000000" w:rsidRDefault="00000000" w:rsidRPr="00000000" w14:paraId="00000005">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しかし、既存の研究には重要な欠落がある。ACEsが成人期のうつ病リスクを高めることは繰り返し実証されてきたが、予防医療行動がACEsの悪影響を緩衝する保護因子として機能し得るかという問いに対する体系的な検証はほとんど行われていない。身体活動がACEsの精神的健康への悪影響を緩和するという先行研究は存在するものの、健康診断の受診、がん検診、歯科受診、予防接種といった予防医療行動への参加がACEsを経験した個人のうつ病リスクをどの程度低減するかを定量的に評価した研究は極めて限定的である。</w:t>
      </w:r>
      <w:r w:rsidDel="00000000" w:rsidR="00000000" w:rsidRPr="00000000">
        <w:rPr>
          <w:rtl w:val="0"/>
        </w:rPr>
      </w:r>
    </w:p>
    <w:p w:rsidR="00000000" w:rsidDel="00000000" w:rsidP="00000000" w:rsidRDefault="00000000" w:rsidRPr="00000000" w14:paraId="00000006">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本研究では、予防医療行動を「ヘルスケア・エンゲージメント」（healthcare engagement）という上位概念で捉える。Andersenの医療サービス利用行動モデル（Andersen, 1968）に基づけば、予防医療行動は個人の素因的要因（predisposing factors）、実現要因（enabling factors）、および必要性要因（need factors）の相互作用によって規定される。本研究で扱う各種予防医療行動（健康診断、がん検診、歯科受診、予防接種等）は、いずれもヘルスケアシステムへの積極的な関与を反映する行動指標であり、理論的にはヘルスケア・エンゲージメントという共通の構成概念の下に位置づけることが可能である。先行研究においても、社会的つながりや支援がこれら予防医療サービスへの参加を促進し、健康アウトカムの改善に寄与することが報告されている。</w:t>
      </w:r>
      <w:r w:rsidDel="00000000" w:rsidR="00000000" w:rsidRPr="00000000">
        <w:rPr>
          <w:rtl w:val="0"/>
        </w:rPr>
      </w:r>
    </w:p>
    <w:p w:rsidR="00000000" w:rsidDel="00000000" w:rsidP="00000000" w:rsidRDefault="00000000" w:rsidRPr="00000000" w14:paraId="00000007">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方法論的には、本研究は二層構造の分析フレームワークを採用する。第一に、有向非巡回グラフ（DAG: Directed Acyclic Graph）に基づく因果推論の枠組みの下で、ロジスティック回帰による交互作用検定およびRERI（Relative Excess Risk due to Interaction）による加法的交互作用の評価を確認的解析（主解析）として実施する。第二に、勾配ブースティングモデル（XGBoost）とSHAP（SHapley Additive exPlanations）交互作用値を用いた探索的解析により、従来の統計手法では事前に特定困難な非線形の複合的交互作用パターンを発見する。この二層構造により、仮説検証の厳密性と探索的発見の柔軟性を両立させる。</w:t>
      </w:r>
      <w:r w:rsidDel="00000000" w:rsidR="00000000" w:rsidRPr="00000000">
        <w:rPr>
          <w:rtl w:val="0"/>
        </w:rPr>
      </w:r>
    </w:p>
    <w:p w:rsidR="00000000" w:rsidDel="00000000" w:rsidP="00000000" w:rsidRDefault="00000000" w:rsidRPr="00000000" w14:paraId="00000008">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1.2 研究の目的</w:t>
      </w:r>
    </w:p>
    <w:p w:rsidR="00000000" w:rsidDel="00000000" w:rsidP="00000000" w:rsidRDefault="00000000" w:rsidRPr="00000000" w14:paraId="00000009">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本研究の目的は以下の2点に集約される。</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交互作用効果の検証（主目的）：</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 BRFSSデータを用い、ACEsと予防医療行動（ヘルスケア・エンゲージメント）の交互作用がうつ病リスクに及ぼす影響を検証する。具体的には、交互作用項を含むロジスティック回帰、RERI（加法的交互作用）、ACEスコア層別解析、および一般化加法モデル（GAM）を用いて、「予防医療行動がACEsのリスク緩衝因子として機能するか」を統計的に検定する。</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探索的パターン発見（副次目的）：</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 勾配ブースティングモデル（XGBoost）を構築し、SHAP交互作用値を用いた探索的解析により、ACEsの各構成要素と個別の予防医療行動の組み合わせがうつ病リスクにどのような複合的影響を及ぼすかを可視化する。確認的解析では捕捉困難な非線形の交互作用パターンの発見を目的とする。</w:t>
      </w:r>
      <w:r w:rsidDel="00000000" w:rsidR="00000000" w:rsidRPr="00000000">
        <w:rPr>
          <w:rtl w:val="0"/>
        </w:rPr>
      </w:r>
    </w:p>
    <w:p w:rsidR="00000000" w:rsidDel="00000000" w:rsidP="00000000" w:rsidRDefault="00000000" w:rsidRPr="00000000" w14:paraId="0000000C">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1.3 研究仮説</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主仮説（H1）：</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 ACEスコアが高い集団において、予防医療行動（健康診断・検診・歯科受診・予防接種）への積極的な参加は、うつ病の有病率の低さと有意に関連する。</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副仮説（H2）：</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 予防医療行動によるうつ病リスクの緩衝効果の大きさは、社会経済的地位（所得水準・雇用状態・教育水準）によって異なる（効果修飾が存在する）。</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補足的検討：</w:t>
      </w:r>
      <w:r w:rsidDel="00000000" w:rsidR="00000000" w:rsidRPr="00000000">
        <w:rPr>
          <w:rFonts w:ascii="Gothic A1" w:cs="Gothic A1" w:eastAsia="Gothic A1" w:hAnsi="Gothic A1"/>
          <w:sz w:val="22"/>
          <w:szCs w:val="22"/>
          <w:rtl w:val="0"/>
        </w:rPr>
        <w:t xml:space="preserve"> なお、補足的な方法論的検討として、勾配ブースティングモデル（XGBoost）が従来のロジスティック回帰モデルと比較して、交互作用パターンの発見においてどのような付加的洞察を提供するかを検討する。ただし、これは正式な仮説ではなく、探索的解析の位置づけである。</w:t>
      </w:r>
      <w:r w:rsidDel="00000000" w:rsidR="00000000" w:rsidRPr="00000000">
        <w:rPr>
          <w:rtl w:val="0"/>
        </w:rPr>
      </w:r>
    </w:p>
    <w:p w:rsidR="00000000" w:rsidDel="00000000" w:rsidP="00000000" w:rsidRDefault="00000000" w:rsidRPr="00000000" w14:paraId="00000010">
      <w:pPr>
        <w:pStyle w:val="Heading1"/>
        <w:spacing w:after="200" w:before="360" w:lineRule="auto"/>
        <w:rPr>
          <w:rFonts w:ascii="Gothic A1" w:cs="Gothic A1" w:eastAsia="Gothic A1" w:hAnsi="Gothic A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36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2. 使用するデータセット</w:t>
      </w:r>
    </w:p>
    <w:p w:rsidR="00000000" w:rsidDel="00000000" w:rsidP="00000000" w:rsidRDefault="00000000" w:rsidRPr="00000000" w14:paraId="00000012">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2.1 BRFSS（Behavioral Risk Factor Surveillance System）</w:t>
      </w:r>
    </w:p>
    <w:p w:rsidR="00000000" w:rsidDel="00000000" w:rsidP="00000000" w:rsidRDefault="00000000" w:rsidRPr="00000000" w14:paraId="00000013">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本研究では、米国疾病予防管理センター（CDC）が毎年実施しているBRFSSの2024年度データを主データセットとして使用する。BRFSSは世界最大規模の電話調査システムであり、全米50州、コロンビア特別区、および各領土から年間約40万人以上の成人を対象としている。2024年度データは2025年8月に公開済みであり、49州・DC等から収集された457,670件のレコードを含む。</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4">
            <w:pPr>
              <w:jc w:val="center"/>
              <w:rPr>
                <w:rFonts w:ascii="Gothic A1" w:cs="Gothic A1" w:eastAsia="Gothic A1" w:hAnsi="Gothic A1"/>
              </w:rPr>
            </w:pPr>
            <w:r w:rsidDel="00000000" w:rsidR="00000000" w:rsidRPr="00000000">
              <w:rPr>
                <w:rFonts w:ascii="Gothic A1" w:cs="Gothic A1" w:eastAsia="Gothic A1" w:hAnsi="Gothic A1"/>
                <w:b w:val="1"/>
                <w:bCs w:val="1"/>
                <w:sz w:val="20"/>
                <w:szCs w:val="20"/>
                <w:rtl w:val="0"/>
              </w:rPr>
              <w:t xml:space="preserve">項目</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5">
            <w:pPr>
              <w:jc w:val="center"/>
              <w:rPr>
                <w:rFonts w:ascii="Gothic A1" w:cs="Gothic A1" w:eastAsia="Gothic A1" w:hAnsi="Gothic A1"/>
              </w:rPr>
            </w:pPr>
            <w:r w:rsidDel="00000000" w:rsidR="00000000" w:rsidRPr="00000000">
              <w:rPr>
                <w:rFonts w:ascii="Gothic A1" w:cs="Gothic A1" w:eastAsia="Gothic A1" w:hAnsi="Gothic A1"/>
                <w:b w:val="1"/>
                <w:bCs w:val="1"/>
                <w:sz w:val="20"/>
                <w:szCs w:val="20"/>
                <w:rtl w:val="0"/>
              </w:rPr>
              <w:t xml:space="preserve">内容</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6">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データセット名</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7">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Behavioral Risk Factor Surveillance System (BRFSS) 2024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8">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管理機関</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9">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CDC (Centers for Disease Control and Prevention)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A">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サンプルサイズ</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B">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約457,670人（2024年度）。ACEモジュール実施州に限定した場合は数万〜十数万人</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C">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対象集団</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D">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米国在住の18歳以上の成人</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E">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ACEモジュール</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F">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11の質問項目から8つのACEカテゴリを測定（オプショナルモジュール、実施州のみ）</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0">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アクセス</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1">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完全公開・無料</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2">
            <w:pPr>
              <w:spacing w:after="40" w:lineRule="auto"/>
              <w:jc w:val="left"/>
              <w:rPr>
                <w:rFonts w:ascii="Gothic A1" w:cs="Gothic A1" w:eastAsia="Gothic A1" w:hAnsi="Gothic A1"/>
              </w:rPr>
            </w:pPr>
            <w:r w:rsidDel="00000000" w:rsidR="00000000" w:rsidRPr="00000000">
              <w:rPr>
                <w:rFonts w:ascii="Gothic A1" w:cs="Gothic A1" w:eastAsia="Gothic A1" w:hAnsi="Gothic A1"/>
                <w:sz w:val="20"/>
                <w:szCs w:val="20"/>
                <w:rtl w:val="0"/>
              </w:rPr>
              <w:t xml:space="preserve">URL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3">
            <w:pPr>
              <w:spacing w:after="40" w:lineRule="auto"/>
              <w:jc w:val="left"/>
              <w:rPr>
                <w:rFonts w:ascii="Gothic A1" w:cs="Gothic A1" w:eastAsia="Gothic A1" w:hAnsi="Gothic A1"/>
              </w:rPr>
            </w:pPr>
            <w:hyperlink r:id="rId7">
              <w:r w:rsidDel="00000000" w:rsidR="00000000" w:rsidRPr="00000000">
                <w:rPr>
                  <w:rFonts w:ascii="Gothic A1" w:cs="Gothic A1" w:eastAsia="Gothic A1" w:hAnsi="Gothic A1"/>
                  <w:sz w:val="20"/>
                  <w:szCs w:val="20"/>
                  <w:u w:val="single"/>
                  <w:rtl w:val="0"/>
                </w:rPr>
                <w:t xml:space="preserve">https://www.cdc.gov/brfss/annual_data/annual_2024.html</w:t>
              </w:r>
            </w:hyperlink>
            <w:r w:rsidDel="00000000" w:rsidR="00000000" w:rsidRPr="00000000">
              <w:rPr>
                <w:rtl w:val="0"/>
              </w:rPr>
            </w:r>
          </w:p>
        </w:tc>
      </w:tr>
    </w:tbl>
    <w:p w:rsidR="00000000" w:rsidDel="00000000" w:rsidP="00000000" w:rsidRDefault="00000000" w:rsidRPr="00000000" w14:paraId="00000024">
      <w:pPr>
        <w:spacing w:after="8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25">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2.2 データ選定戦略とファイル構成</w:t>
      </w:r>
    </w:p>
    <w:p w:rsidR="00000000" w:rsidDel="00000000" w:rsidP="00000000" w:rsidRDefault="00000000" w:rsidRPr="00000000" w14:paraId="00000026">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BRFSSのACEモジュールはオプショナルモジュールであり、各州が年度ごとに採用を選択する。そのため、全回答者がACE変数を持つわけではなく、ACEモジュール実施州のデータのみが分析対象となる。本研究では以下の戦略に基づきデータを選定する。</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2024年データを主データセットとする：</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 2024年度は2025年8月に公開済みであり、最新かつサンプルサイズも457,670件と大きい。CDCデータページ上の「BRFSS 2024 Modules Used by State」ドキュメントでACEモジュール実施州を特定し、該当州のデータを抽出する。</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ACEモジュール実施州数に応じた2023年データとの統合検討：</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 2024年のACEモジュール実施州数が不十分な場合、2023年データ（433,323件）のACEモジュール実施州データとの統合を検討する。複数年データの統合にはCDCが公開する重み調整手順に従い、サンプルサイズに応じた比例的な重み変数の調整を行う。</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最終サンプルサイズの見込み：</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 過去の実績から、ACEモジュールは毎年10〜25州程度が採用しており、単年でも数万〜十数万件のACE付きレコードが確保できる見込みである。2年分を統合すれば十分な統計的検出力を持つデータセットが構築可能である。</w:t>
      </w:r>
      <w:r w:rsidDel="00000000" w:rsidR="00000000" w:rsidRPr="00000000">
        <w:rPr>
          <w:rtl w:val="0"/>
        </w:rPr>
      </w:r>
    </w:p>
    <w:p w:rsidR="00000000" w:rsidDel="00000000" w:rsidP="00000000" w:rsidRDefault="00000000" w:rsidRPr="00000000" w14:paraId="0000002A">
      <w:pPr>
        <w:spacing w:after="8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2B">
      <w:pPr>
        <w:spacing w:after="160" w:line="340" w:lineRule="auto"/>
        <w:jc w:val="both"/>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ダウンロードするファイル一覧：</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LLCP2024.XPT</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（メインデータ、SAS Transport形式）：コア変数（人口統計、健康状態、予防医療行動、慢性疾患、生活習慣等）全345変数を含む。Pythonではpandas.read_sas()で直接読み込み可能。</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LLCP24V1.XPT / LLCP24V2.XPT / LLCP24V3.XPT</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（オプショナルモジュール版、各Version別）：ACEモジュールの変数はこれらのファイルに格納されている。州ごとにどのVersionにACE変数があるかは「Modules Used by State」で確認する。</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Codebook（ZIP）</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：変数名・コード値・頻度分布の対応表。変数の意味とコーディングの確認に必須。</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Calculated Variables ドキュメント（PDF）</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：CDCが算出した派生変数（_RFHLTH, _TOTINDA等）の定義と計算手順の説明。</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Modules Used by State / by Category</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：各州のオプショナルモジュール採用状況一覧。ACEモジュール実施州の特定に使用する。</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Complex Sampling Weights ドキュメント（PDF）</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：モジュールデータの重み調整手順とマージ方法の公式ガイド。複数Versionにまたがるデータの統合方法が記載されている。</w:t>
      </w:r>
      <w:r w:rsidDel="00000000" w:rsidR="00000000" w:rsidRPr="00000000">
        <w:rPr>
          <w:rtl w:val="0"/>
        </w:rPr>
      </w:r>
    </w:p>
    <w:p w:rsidR="00000000" w:rsidDel="00000000" w:rsidP="00000000" w:rsidRDefault="00000000" w:rsidRPr="00000000" w14:paraId="00000032">
      <w:pPr>
        <w:spacing w:after="8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33">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統合時の注意点として、メインデータ（LLCP2024.XPT）にはACE変数が含まれないため、オプショナルモジュール版データからACE変数を抽出し、回答者ID（SEQNO）と州コード（_STATE）をキーとしてメインデータにマージする必要がある。重み変数はVersionによって異なるため（_LCPWTV1, _LCPWTV2等）、CDCのガイドに従って最終重み変数（FINALWT）を正しく再構成する。</w:t>
      </w:r>
      <w:r w:rsidDel="00000000" w:rsidR="00000000" w:rsidRPr="00000000">
        <w:rPr>
          <w:rtl w:val="0"/>
        </w:rPr>
      </w:r>
    </w:p>
    <w:p w:rsidR="00000000" w:rsidDel="00000000" w:rsidP="00000000" w:rsidRDefault="00000000" w:rsidRPr="00000000" w14:paraId="00000034">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2.3 使用する変数群</w:t>
      </w:r>
    </w:p>
    <w:p w:rsidR="00000000" w:rsidDel="00000000" w:rsidP="00000000" w:rsidRDefault="00000000" w:rsidRPr="00000000" w14:paraId="00000035">
      <w:pPr>
        <w:spacing w:after="160" w:line="340" w:lineRule="auto"/>
        <w:jc w:val="both"/>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アウトカム変数（目的変数）：</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主アウトカム：</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現在のうつ病性障害の有無（ADDEPEV3変数：医師診断に基づく自己申告、BRFSSコア質問）</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b w:val="1"/>
          <w:bCs w:val="1"/>
          <w:smallCaps w:val="0"/>
          <w:strike w:val="0"/>
          <w:sz w:val="22"/>
          <w:szCs w:val="22"/>
          <w:u w:val="none"/>
          <w:shd w:fill="auto" w:val="clear"/>
          <w:vertAlign w:val="baseline"/>
          <w:rtl w:val="0"/>
        </w:rPr>
        <w:t xml:space="preserve">副次アウトカム（サブ解析用）：</w:t>
      </w: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PHQ-8スコア（Patient Health Questionnaire 8項目版、Anxiety and Depressionオプショナルモジュール）。当該モジュールを実施した州でのみ利用可能であり、10点以上を中等度うつ病として分類する。</w:t>
      </w:r>
      <w:r w:rsidDel="00000000" w:rsidR="00000000" w:rsidRPr="00000000">
        <w:rPr>
          <w:rtl w:val="0"/>
        </w:rPr>
      </w:r>
    </w:p>
    <w:p w:rsidR="00000000" w:rsidDel="00000000" w:rsidP="00000000" w:rsidRDefault="00000000" w:rsidRPr="00000000" w14:paraId="00000038">
      <w:pPr>
        <w:spacing w:after="8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39">
      <w:pPr>
        <w:spacing w:after="160" w:line="340" w:lineRule="auto"/>
        <w:jc w:val="both"/>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説明変数：</w:t>
      </w:r>
      <w:r w:rsidDel="00000000" w:rsidR="00000000" w:rsidRPr="00000000">
        <w:rPr>
          <w:rtl w:val="0"/>
        </w:rPr>
      </w:r>
    </w:p>
    <w:p w:rsidR="00000000" w:rsidDel="00000000" w:rsidP="00000000" w:rsidRDefault="00000000" w:rsidRPr="00000000" w14:paraId="0000003A">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(A) ACEs関連変数（11の質問項目 → 8カテゴリ）</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虐待3カテゴリ：精神的虐待、身体的虐待、性的虐待</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家庭内の機能不全5カテゴリ：DV目撃、家庭内物質依存、家庭内精神疾患、親の離婚/別居、家族の収監</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注：ネグレクト（身体的・情緒的）は2019年以降に追加された項目であり、実施州によって含まれない場合がある。利用可能性はCodebookで確認する</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ACEスコア：上記8カテゴリの該当数を合計（0–8の範囲）</w:t>
      </w:r>
      <w:r w:rsidDel="00000000" w:rsidR="00000000" w:rsidRPr="00000000">
        <w:rPr>
          <w:rtl w:val="0"/>
        </w:rPr>
      </w:r>
    </w:p>
    <w:p w:rsidR="00000000" w:rsidDel="00000000" w:rsidP="00000000" w:rsidRDefault="00000000" w:rsidRPr="00000000" w14:paraId="0000003F">
      <w:pPr>
        <w:spacing w:after="8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40">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(B) 健康の社会的決定要因（SDOH）</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人口統計学的変数：年齢、性別、人種/民族、婚姻状況（コア質問）</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社会経済的変数：教育水準、世帯収入、雇用状態、保険加入状況（コア質問）</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医療アクセス：過去12か月間で費用を理由に受診を控えた経験、かかりつけ医の有無（コア質問）</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社会的孤立感・社会的サポート：Social Determinants and Health Equityオプショナルモジュールで測定。当該モジュール実施州でのみ利用可能であり、利用不可の場合はサブ解析として位置づける</w:t>
      </w:r>
      <w:r w:rsidDel="00000000" w:rsidR="00000000" w:rsidRPr="00000000">
        <w:rPr>
          <w:rtl w:val="0"/>
        </w:rPr>
      </w:r>
    </w:p>
    <w:p w:rsidR="00000000" w:rsidDel="00000000" w:rsidP="00000000" w:rsidRDefault="00000000" w:rsidRPr="00000000" w14:paraId="00000045">
      <w:pPr>
        <w:spacing w:after="8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46">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(C) 予防医療行動（本研究の独自変数群）</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がん検診受診歴（乳がん、子宮頸がん、大腸がん等）</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過去12か月以内の健康診断（routine checkup）受診</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歯科受診歴</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インフルエンザ予防接種の接種状況</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HIV検査歴</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注：上記変数の利用可能性はPhase 2でCodebookにより確認し、2024年データで利用不可の変数がある場合は解析から除外する</w:t>
      </w:r>
      <w:r w:rsidDel="00000000" w:rsidR="00000000" w:rsidRPr="00000000">
        <w:rPr>
          <w:rtl w:val="0"/>
        </w:rPr>
      </w:r>
    </w:p>
    <w:p w:rsidR="00000000" w:rsidDel="00000000" w:rsidP="00000000" w:rsidRDefault="00000000" w:rsidRPr="00000000" w14:paraId="0000004D">
      <w:pPr>
        <w:spacing w:after="8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4E">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(D) 健康行動・健康状態の共変量</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喫煙状況、飲酒量、BMI、運動習慣</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慢性疾患の合併（糖尿病、心疾患、脳卒中等）</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主観的健康感（self-rated health）</w:t>
      </w:r>
      <w:r w:rsidDel="00000000" w:rsidR="00000000" w:rsidRPr="00000000">
        <w:rPr>
          <w:rtl w:val="0"/>
        </w:rPr>
      </w:r>
    </w:p>
    <w:p w:rsidR="00000000" w:rsidDel="00000000" w:rsidP="00000000" w:rsidRDefault="00000000" w:rsidRPr="00000000" w14:paraId="00000052">
      <w:pPr>
        <w:pStyle w:val="Heading1"/>
        <w:spacing w:after="200" w:before="360" w:lineRule="auto"/>
        <w:rPr>
          <w:rFonts w:ascii="Gothic A1" w:cs="Gothic A1" w:eastAsia="Gothic A1" w:hAnsi="Gothic A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200" w:before="36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3. 用いる手法</w:t>
      </w:r>
    </w:p>
    <w:p w:rsidR="00000000" w:rsidDel="00000000" w:rsidP="00000000" w:rsidRDefault="00000000" w:rsidRPr="00000000" w14:paraId="00000054">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3.1 データ前処理</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欠損値処理：</w:t>
      </w:r>
      <w:r w:rsidDel="00000000" w:rsidR="00000000" w:rsidRPr="00000000">
        <w:rPr>
          <w:rFonts w:ascii="Gothic A1" w:cs="Gothic A1" w:eastAsia="Gothic A1" w:hAnsi="Gothic A1"/>
          <w:sz w:val="22"/>
          <w:szCs w:val="22"/>
          <w:rtl w:val="0"/>
        </w:rPr>
        <w:t xml:space="preserve"> 欠損率の確認後、欠損率5%未満の変数については当該変数に欠損値を持つレコードを解析から除外する（complete case analysis）。欠損率5–30%の変数には多重補完法（Multiple Imputation by Chained Equations; MICE）を適用する。欠損率30%以上の変数は解析から除外する。</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カテゴリカル変数のエンコーディング：</w:t>
      </w:r>
      <w:r w:rsidDel="00000000" w:rsidR="00000000" w:rsidRPr="00000000">
        <w:rPr>
          <w:rFonts w:ascii="Gothic A1" w:cs="Gothic A1" w:eastAsia="Gothic A1" w:hAnsi="Gothic A1"/>
          <w:sz w:val="22"/>
          <w:szCs w:val="22"/>
          <w:rtl w:val="0"/>
        </w:rPr>
        <w:t xml:space="preserve"> 順序変数にはOrdinal Encoding、名義変数にはOne-Hot Encodingを適用する。</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クラス不均衡の対応：</w:t>
      </w:r>
      <w:r w:rsidDel="00000000" w:rsidR="00000000" w:rsidRPr="00000000">
        <w:rPr>
          <w:rFonts w:ascii="Gothic A1" w:cs="Gothic A1" w:eastAsia="Gothic A1" w:hAnsi="Gothic A1"/>
          <w:sz w:val="22"/>
          <w:szCs w:val="22"/>
          <w:rtl w:val="0"/>
        </w:rPr>
        <w:t xml:space="preserve"> うつ病の有病率が相対的に低い場合、まずロジスティック回帰のclass_weight=‘balanced’パラメータおよびXGBoostのscale_pos_weightパラメータにより、クラス重みの調整を行う。SMOTE（Synthetic Minority Over-sampling Technique）は感度分析として実施し、結果のロバスト性を確認する。</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サンプリングウェイトの処理：</w:t>
      </w:r>
      <w:r w:rsidDel="00000000" w:rsidR="00000000" w:rsidRPr="00000000">
        <w:rPr>
          <w:rFonts w:ascii="Gothic A1" w:cs="Gothic A1" w:eastAsia="Gothic A1" w:hAnsi="Gothic A1"/>
          <w:sz w:val="22"/>
          <w:szCs w:val="22"/>
          <w:rtl w:val="0"/>
        </w:rPr>
        <w:t xml:space="preserve"> BRFSSは複合サンプリングデザインを採用しているため、確認的解析（ロジスティック回帰）ではサーベイ対応の標準誤差推定を使用する。探索的解析（XGBoost）ではsample_weightパラメータに調査重みを適用し、重みなしモデルとの感度分析を併せて実施する。</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交差検証戦略：</w:t>
      </w:r>
      <w:r w:rsidDel="00000000" w:rsidR="00000000" w:rsidRPr="00000000">
        <w:rPr>
          <w:rFonts w:ascii="Gothic A1" w:cs="Gothic A1" w:eastAsia="Gothic A1" w:hAnsi="Gothic A1"/>
          <w:sz w:val="22"/>
          <w:szCs w:val="22"/>
          <w:rtl w:val="0"/>
        </w:rPr>
        <w:t xml:space="preserve"> BRFSSデータの州レベルのクラスタリング構造を考慮し、州をグルーピング変数としたGroupKFold（5分割）を採用する。これにより、同一州のデータが訓練セットとテストセットに分割されることによるデータ漏洩を防止する。</w:t>
      </w:r>
      <w:r w:rsidDel="00000000" w:rsidR="00000000" w:rsidRPr="00000000">
        <w:rPr>
          <w:rtl w:val="0"/>
        </w:rPr>
      </w:r>
    </w:p>
    <w:p w:rsidR="00000000" w:rsidDel="00000000" w:rsidP="00000000" w:rsidRDefault="00000000" w:rsidRPr="00000000" w14:paraId="0000005A">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3.2 因果推論の枠組み</w:t>
      </w:r>
    </w:p>
    <w:p w:rsidR="00000000" w:rsidDel="00000000" w:rsidP="00000000" w:rsidRDefault="00000000" w:rsidRPr="00000000" w14:paraId="0000005B">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本研究では、有向非巡回グラフ（DAG: Directed Acyclic Graph）を用いて、ACEs→うつ病の因果構造を明示的にモデル化する。DAGittyを用いてDAGを構築し、最小十分調整変数セット（minimal sufficient adjustment set）を理論的に導出する。DAGの活用はACE研究において推奨されているにもかかわらず十分に活用されていない手法であり（Loveday et al., 2019）、本研究ではこれを中核的な方法論的基盤として位置づける。</w:t>
      </w:r>
      <w:r w:rsidDel="00000000" w:rsidR="00000000" w:rsidRPr="00000000">
        <w:rPr>
          <w:rtl w:val="0"/>
        </w:rPr>
      </w:r>
    </w:p>
    <w:p w:rsidR="00000000" w:rsidDel="00000000" w:rsidP="00000000" w:rsidRDefault="00000000" w:rsidRPr="00000000" w14:paraId="0000005C">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DAGにおけるノード構成は以下の通りである。曝露変数としてACEs（小児期の逆境体験）、アウトカム変数としてうつ病（ADDEPEV3）、提案される効果修飾因子として予防医療行動を配置する。交絡因子（調整すべき変数）には年齢、性別、人種/民族、教育水準、世帯収入、雇用状態、保険加入状況を含める。中間変数（調整すべきでない変数）として現在の健康行動（喫煙、飲酒、運動）および慢性疾患の合併を位置づける。さらに、うつ病→予防医療行動への逆因果経路をDAG上に明示し、横断データにおけるこの経路の制御不能性を認識した上で、感度分析による対処策を計画する。</w:t>
      </w:r>
      <w:r w:rsidDel="00000000" w:rsidR="00000000" w:rsidRPr="00000000">
        <w:rPr>
          <w:rtl w:val="0"/>
        </w:rPr>
      </w:r>
    </w:p>
    <w:p w:rsidR="00000000" w:rsidDel="00000000" w:rsidP="00000000" w:rsidRDefault="00000000" w:rsidRPr="00000000" w14:paraId="0000005D">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構築したDAGは補足資料として公開し、調整変数選択の透明性を確保する。</w:t>
      </w:r>
      <w:r w:rsidDel="00000000" w:rsidR="00000000" w:rsidRPr="00000000">
        <w:rPr>
          <w:rtl w:val="0"/>
        </w:rPr>
      </w:r>
    </w:p>
    <w:p w:rsidR="00000000" w:rsidDel="00000000" w:rsidP="00000000" w:rsidRDefault="00000000" w:rsidRPr="00000000" w14:paraId="0000005E">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3.3 確認的解析（主解析）</w:t>
      </w:r>
    </w:p>
    <w:p w:rsidR="00000000" w:rsidDel="00000000" w:rsidP="00000000" w:rsidRDefault="00000000" w:rsidRPr="00000000" w14:paraId="0000005F">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本研究の主解析は、仮説H1およびH2の統計的検定を目的とする確認的解析である。以下の4つの手法を統合的に用いる。</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交互作用項を含むロジスティック回帰：</w:t>
      </w:r>
      <w:r w:rsidDel="00000000" w:rsidR="00000000" w:rsidRPr="00000000">
        <w:rPr>
          <w:rFonts w:ascii="Gothic A1" w:cs="Gothic A1" w:eastAsia="Gothic A1" w:hAnsi="Gothic A1"/>
          <w:sz w:val="22"/>
          <w:szCs w:val="22"/>
          <w:rtl w:val="0"/>
        </w:rPr>
        <w:t xml:space="preserve"> ACEスコアと各予防医療行動変数の積項（product term）をモデルに含め、乗法的交互作用を検定する。標準誤差の推定にはBRFSSの複合サンプリングデザイン（層化、クラスタリング、重み）を考慮したサーベイ対応の推定法を使用する。社会経済的変数によるH2の効果修飾は、三次交互作用項の投入または層別モデルにより評価する。</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RERI（加法的交互作用の評価）：</w:t>
      </w:r>
      <w:r w:rsidDel="00000000" w:rsidR="00000000" w:rsidRPr="00000000">
        <w:rPr>
          <w:rFonts w:ascii="Gothic A1" w:cs="Gothic A1" w:eastAsia="Gothic A1" w:hAnsi="Gothic A1"/>
          <w:sz w:val="22"/>
          <w:szCs w:val="22"/>
          <w:rtl w:val="0"/>
        </w:rPr>
        <w:t xml:space="preserve"> 加法的交互作用の評価指標として、VanderWeele &amp; Knol（2014）の手法に従いRERI（Relative Excess Risk due to Interaction）、寄与割合（AP: Attributable Proportion due to Interaction）、および相乗指数（SI: Synergy Index）を算出する。95%信頼区間はデルタ法またはブートストラップ法により推定する。公衆衛生的観点からは、加法的交互作用が政策的含意を持つため特に重要である。</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ACEスコア層別解析：</w:t>
      </w:r>
      <w:r w:rsidDel="00000000" w:rsidR="00000000" w:rsidRPr="00000000">
        <w:rPr>
          <w:rFonts w:ascii="Gothic A1" w:cs="Gothic A1" w:eastAsia="Gothic A1" w:hAnsi="Gothic A1"/>
          <w:sz w:val="22"/>
          <w:szCs w:val="22"/>
          <w:rtl w:val="0"/>
        </w:rPr>
        <w:t xml:space="preserve"> ACEスコアを3群（0、1–3、4以上）に層別化し、各層における予防医療行動とうつ病の関連をオッズ比と95%信頼区間で評価する。これにより、H1（予防医療行動の緩衝効果がACEスコア高群でより顕著か）を直接的に検証する。</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一般化加法モデル（GAM）：</w:t>
      </w:r>
      <w:r w:rsidDel="00000000" w:rsidR="00000000" w:rsidRPr="00000000">
        <w:rPr>
          <w:rFonts w:ascii="Gothic A1" w:cs="Gothic A1" w:eastAsia="Gothic A1" w:hAnsi="Gothic A1"/>
          <w:sz w:val="22"/>
          <w:szCs w:val="22"/>
          <w:rtl w:val="0"/>
        </w:rPr>
        <w:t xml:space="preserve"> ACEスコアとうつ病リスクの関係が線形でない可能性を考慮し、スプライン関数を用いた非線形モデリングを実施する。予防医療行動のレベル別に層別化したGAMにより、用量反応関係と非線形の交互作用パターンを視覚化する。</w:t>
      </w:r>
      <w:r w:rsidDel="00000000" w:rsidR="00000000" w:rsidRPr="00000000">
        <w:rPr>
          <w:rtl w:val="0"/>
        </w:rPr>
      </w:r>
    </w:p>
    <w:p w:rsidR="00000000" w:rsidDel="00000000" w:rsidP="00000000" w:rsidRDefault="00000000" w:rsidRPr="00000000" w14:paraId="00000064">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主アウトカムはADDEPEV3（医師診断に基づくうつ病性障害の有無）とし、PHQ-8スコア（10点以上を中等度うつ病として分類）を副次アウトカムとして、PHQ-8実施州のサブサンプルで頑健性を確認する。</w:t>
      </w:r>
      <w:r w:rsidDel="00000000" w:rsidR="00000000" w:rsidRPr="00000000">
        <w:rPr>
          <w:rtl w:val="0"/>
        </w:rPr>
      </w:r>
    </w:p>
    <w:p w:rsidR="00000000" w:rsidDel="00000000" w:rsidP="00000000" w:rsidRDefault="00000000" w:rsidRPr="00000000" w14:paraId="00000065">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3.4 探索的解析（補助的解析）</w:t>
      </w:r>
    </w:p>
    <w:p w:rsidR="00000000" w:rsidDel="00000000" w:rsidP="00000000" w:rsidRDefault="00000000" w:rsidRPr="00000000" w14:paraId="00000066">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確認的解析を補完するため、勾配ブースティングモデルとSHAP解析による探索的解析を実施する。この解析の目的は、確認的解析では事前に指定が必要な交互作用の形を仮定せずに、ACEsの各構成要素と予防医療行動の多様な組み合わせがうつ病リスクに及ぼす複合的影響を探索的に発見することである。</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XGBoostモデルの構築：</w:t>
      </w:r>
      <w:r w:rsidDel="00000000" w:rsidR="00000000" w:rsidRPr="00000000">
        <w:rPr>
          <w:rFonts w:ascii="Gothic A1" w:cs="Gothic A1" w:eastAsia="Gothic A1" w:hAnsi="Gothic A1"/>
          <w:sz w:val="22"/>
          <w:szCs w:val="22"/>
          <w:rtl w:val="0"/>
        </w:rPr>
        <w:t xml:space="preserve"> ACEs関連変数、SDOH変数、予防医療行動変数、および健康行動・健康状態の共変量を特徴量として、うつ病予測モデルを構築する。ハイパーパラメータの最適化にはOptuna（ベイズ最適化フレームワーク）を使用する。クラス不均衡にはscale_pos_weightパラメータで対応し、調査重みはsample_weightパラメータに適用する。</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SHAP解析：</w:t>
      </w:r>
      <w:r w:rsidDel="00000000" w:rsidR="00000000" w:rsidRPr="00000000">
        <w:rPr>
          <w:rFonts w:ascii="Gothic A1" w:cs="Gothic A1" w:eastAsia="Gothic A1" w:hAnsi="Gothic A1"/>
          <w:sz w:val="22"/>
          <w:szCs w:val="22"/>
          <w:rtl w:val="0"/>
        </w:rPr>
        <w:t xml:space="preserve"> 最適化されたXGBoostモデルに対し、グローバルな特徴量重要度（SHAP summary plot）を生成する。さらに、SHAP交互作用値（shap_interaction_values）を算出し、ACEスコアと各予防医療行動変数の交互作用効果を定量化する。計算コストを考慮し、交互作用値の算出にはランダムサブサンプル（約10,000件）を使用する。部分依存プロット（PDP）により、ACEスコアとうつ病予測確率の関係を予防医療行動のレベル別に層別化して描画する。</w:t>
      </w:r>
      <w:r w:rsidDel="00000000" w:rsidR="00000000" w:rsidRPr="00000000">
        <w:rPr>
          <w:rtl w:val="0"/>
        </w:rPr>
      </w:r>
    </w:p>
    <w:p w:rsidR="00000000" w:rsidDel="00000000" w:rsidP="00000000" w:rsidRDefault="00000000" w:rsidRPr="00000000" w14:paraId="00000069">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なお、CatBoost（カテゴリ変数ネイティブ対応の勾配ブースティング）を追加的に構築し、モデル選択がSHAP解析結果に及ぼす影響の感度分析を行う。</w:t>
      </w:r>
      <w:r w:rsidDel="00000000" w:rsidR="00000000" w:rsidRPr="00000000">
        <w:rPr>
          <w:rtl w:val="0"/>
        </w:rPr>
      </w:r>
    </w:p>
    <w:p w:rsidR="00000000" w:rsidDel="00000000" w:rsidP="00000000" w:rsidRDefault="00000000" w:rsidRPr="00000000" w14:paraId="0000006A">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3.5 感度分析</w:t>
      </w:r>
    </w:p>
    <w:p w:rsidR="00000000" w:rsidDel="00000000" w:rsidP="00000000" w:rsidRDefault="00000000" w:rsidRPr="00000000" w14:paraId="0000006B">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本研究の結論のロバスト性を多角的に検証するため、以下の感度分析を計画する。</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E-value（残余交絡感度パラメータ）の算出：</w:t>
      </w:r>
      <w:r w:rsidDel="00000000" w:rsidR="00000000" w:rsidRPr="00000000">
        <w:rPr>
          <w:rFonts w:ascii="Gothic A1" w:cs="Gothic A1" w:eastAsia="Gothic A1" w:hAnsi="Gothic A1"/>
          <w:sz w:val="22"/>
          <w:szCs w:val="22"/>
          <w:rtl w:val="0"/>
        </w:rPr>
        <w:t xml:space="preserve"> 観察された関連を無効化するために必要な未測定交絡の最小強度を定量化し、残余交絡に対する推定値の頑健性を評価する。</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慢性疾患合併者除外サブ解析：</w:t>
      </w:r>
      <w:r w:rsidDel="00000000" w:rsidR="00000000" w:rsidRPr="00000000">
        <w:rPr>
          <w:rFonts w:ascii="Gothic A1" w:cs="Gothic A1" w:eastAsia="Gothic A1" w:hAnsi="Gothic A1"/>
          <w:sz w:val="22"/>
          <w:szCs w:val="22"/>
          <w:rtl w:val="0"/>
        </w:rPr>
        <w:t xml:space="preserve"> 「うつ病が先行し予防医療行動が低下する」という逆因果の影響を部分的に制御するため、主要な慢性疾患（糖尿病、心疾患、脳卒中等）の合併者を除外したサブ解析を実施する。</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サンプリングウェイト感度分析：</w:t>
      </w:r>
      <w:r w:rsidDel="00000000" w:rsidR="00000000" w:rsidRPr="00000000">
        <w:rPr>
          <w:rFonts w:ascii="Gothic A1" w:cs="Gothic A1" w:eastAsia="Gothic A1" w:hAnsi="Gothic A1"/>
          <w:sz w:val="22"/>
          <w:szCs w:val="22"/>
          <w:rtl w:val="0"/>
        </w:rPr>
        <w:t xml:space="preserve"> 調査重みを使用したモデルと重み未使用のモデルの結果を比較し、ウェイト設定がモデル結果に与える影響を評価する。</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クラス不均衡対応の感度分析：</w:t>
      </w:r>
      <w:r w:rsidDel="00000000" w:rsidR="00000000" w:rsidRPr="00000000">
        <w:rPr>
          <w:rFonts w:ascii="Gothic A1" w:cs="Gothic A1" w:eastAsia="Gothic A1" w:hAnsi="Gothic A1"/>
          <w:sz w:val="22"/>
          <w:szCs w:val="22"/>
          <w:rtl w:val="0"/>
        </w:rPr>
        <w:t xml:space="preserve"> class_weight/scale_pos_weightによる調整とSMOTEによる合成サンプル生成の両方で解析を実施し、結果の一致度を確認する。</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欠損値処理の感度分析：</w:t>
      </w:r>
      <w:r w:rsidDel="00000000" w:rsidR="00000000" w:rsidRPr="00000000">
        <w:rPr>
          <w:rFonts w:ascii="Gothic A1" w:cs="Gothic A1" w:eastAsia="Gothic A1" w:hAnsi="Gothic A1"/>
          <w:sz w:val="22"/>
          <w:szCs w:val="22"/>
          <w:rtl w:val="0"/>
        </w:rPr>
        <w:t xml:space="preserve"> 完全ケース分析（complete case analysis）と多重補完法（MICE）の両方で主要な分析を実施し、欠損値処理方法が結果に及ぼす影響を評価する。</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40" w:lineRule="auto"/>
        <w:ind w:left="0" w:right="0" w:firstLine="0"/>
        <w:jc w:val="left"/>
        <w:rPr>
          <w:rFonts w:ascii="Gothic A1" w:cs="Gothic A1" w:eastAsia="Gothic A1" w:hAnsi="Gothic A1"/>
        </w:rPr>
      </w:pPr>
      <w:r w:rsidDel="00000000" w:rsidR="00000000" w:rsidRPr="00000000">
        <w:rPr>
          <w:rtl w:val="0"/>
        </w:rPr>
      </w:r>
    </w:p>
    <w:p w:rsidR="00000000" w:rsidDel="00000000" w:rsidP="00000000" w:rsidRDefault="00000000" w:rsidRPr="00000000" w14:paraId="00000072">
      <w:pPr>
        <w:pStyle w:val="Heading1"/>
        <w:spacing w:after="200" w:before="360" w:lineRule="auto"/>
        <w:rPr>
          <w:rFonts w:ascii="Gothic A1" w:cs="Gothic A1" w:eastAsia="Gothic A1" w:hAnsi="Gothic A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4. 評価指標</w:t>
      </w:r>
    </w:p>
    <w:p w:rsidR="00000000" w:rsidDel="00000000" w:rsidP="00000000" w:rsidRDefault="00000000" w:rsidRPr="00000000" w14:paraId="00000074">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4.1 交互作用効果の評価（主要評価指標）</w:t>
      </w:r>
    </w:p>
    <w:p w:rsidR="00000000" w:rsidDel="00000000" w:rsidP="00000000" w:rsidRDefault="00000000" w:rsidRPr="00000000" w14:paraId="00000075">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本研究の主要な評価指標は、確認的解析における交互作用効果の推定値とその統計的有意性である。</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乗法的交互作用OR：</w:t>
      </w:r>
      <w:r w:rsidDel="00000000" w:rsidR="00000000" w:rsidRPr="00000000">
        <w:rPr>
          <w:rFonts w:ascii="Gothic A1" w:cs="Gothic A1" w:eastAsia="Gothic A1" w:hAnsi="Gothic A1"/>
          <w:sz w:val="22"/>
          <w:szCs w:val="22"/>
          <w:rtl w:val="0"/>
        </w:rPr>
        <w:t xml:space="preserve"> ロジスティック回帰の交互作用項のオッズ比と95%信頼区間。乗法的尺度での効果修飾の有無を検定する。</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RERI：</w:t>
      </w:r>
      <w:r w:rsidDel="00000000" w:rsidR="00000000" w:rsidRPr="00000000">
        <w:rPr>
          <w:rFonts w:ascii="Gothic A1" w:cs="Gothic A1" w:eastAsia="Gothic A1" w:hAnsi="Gothic A1"/>
          <w:sz w:val="22"/>
          <w:szCs w:val="22"/>
          <w:rtl w:val="0"/>
        </w:rPr>
        <w:t xml:space="preserve"> 相対超過リスク（Relative Excess Risk due to Interaction）。加法的交互作用の評価指標であり、公衆衛生的含意が大きい。RERI &gt; 0は正の加法的交互作用（相乗効果）を示唆する。</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AP（Attributable Proportion due to Interaction）：</w:t>
      </w:r>
      <w:r w:rsidDel="00000000" w:rsidR="00000000" w:rsidRPr="00000000">
        <w:rPr>
          <w:rFonts w:ascii="Gothic A1" w:cs="Gothic A1" w:eastAsia="Gothic A1" w:hAnsi="Gothic A1"/>
          <w:sz w:val="22"/>
          <w:szCs w:val="22"/>
          <w:rtl w:val="0"/>
        </w:rPr>
        <w:t xml:space="preserve"> 二重曝露群（ACEs高 × 予防行動低）における交互作用に帰属するリスクの割合。交互作用の寄与度を定量化する。</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SI（Synergy Index）：</w:t>
      </w:r>
      <w:r w:rsidDel="00000000" w:rsidR="00000000" w:rsidRPr="00000000">
        <w:rPr>
          <w:rFonts w:ascii="Gothic A1" w:cs="Gothic A1" w:eastAsia="Gothic A1" w:hAnsi="Gothic A1"/>
          <w:sz w:val="22"/>
          <w:szCs w:val="22"/>
          <w:rtl w:val="0"/>
        </w:rPr>
        <w:t xml:space="preserve"> 加法的交互作用の比率尺度。SI &gt; 1で正の加法的交互作用を示唆する。</w:t>
      </w:r>
      <w:r w:rsidDel="00000000" w:rsidR="00000000" w:rsidRPr="00000000">
        <w:rPr>
          <w:rtl w:val="0"/>
        </w:rPr>
      </w:r>
    </w:p>
    <w:p w:rsidR="00000000" w:rsidDel="00000000" w:rsidP="00000000" w:rsidRDefault="00000000" w:rsidRPr="00000000" w14:paraId="0000007A">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4.2 モデル性能の評価（探索的解析の評価指標）</w:t>
      </w:r>
    </w:p>
    <w:p w:rsidR="00000000" w:rsidDel="00000000" w:rsidP="00000000" w:rsidRDefault="00000000" w:rsidRPr="00000000" w14:paraId="0000007B">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以下の指標は、探索的解析におけるXGBoostモデルの予測性能評価に使用する。主目的は予測性能の最大化ではなく、SHAP解析の基盤となるモデルの妥当性を確認することである。</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AUROC：</w:t>
      </w:r>
      <w:r w:rsidDel="00000000" w:rsidR="00000000" w:rsidRPr="00000000">
        <w:rPr>
          <w:rFonts w:ascii="Gothic A1" w:cs="Gothic A1" w:eastAsia="Gothic A1" w:hAnsi="Gothic A1"/>
          <w:sz w:val="22"/>
          <w:szCs w:val="22"/>
          <w:rtl w:val="0"/>
        </w:rPr>
        <w:t xml:space="preserve">受信者動作特性曲線下面積（AUROC）：閾値非依存の総合判別性能</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AUPRC：</w:t>
      </w:r>
      <w:r w:rsidDel="00000000" w:rsidR="00000000" w:rsidRPr="00000000">
        <w:rPr>
          <w:rFonts w:ascii="Gothic A1" w:cs="Gothic A1" w:eastAsia="Gothic A1" w:hAnsi="Gothic A1"/>
          <w:sz w:val="22"/>
          <w:szCs w:val="22"/>
          <w:rtl w:val="0"/>
        </w:rPr>
        <w:t xml:space="preserve">適合率-再現率曲線下面積：クラス不均衡がある場合にAUROCを補完</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Sensitivity / Specificity：</w:t>
      </w:r>
      <w:r w:rsidDel="00000000" w:rsidR="00000000" w:rsidRPr="00000000">
        <w:rPr>
          <w:rFonts w:ascii="Gothic A1" w:cs="Gothic A1" w:eastAsia="Gothic A1" w:hAnsi="Gothic A1"/>
          <w:sz w:val="22"/>
          <w:szCs w:val="22"/>
          <w:rtl w:val="0"/>
        </w:rPr>
        <w:t xml:space="preserve">感度（真陽性率）と特異度（真陰性率）</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F1 Score：</w:t>
      </w:r>
      <w:r w:rsidDel="00000000" w:rsidR="00000000" w:rsidRPr="00000000">
        <w:rPr>
          <w:rFonts w:ascii="Gothic A1" w:cs="Gothic A1" w:eastAsia="Gothic A1" w:hAnsi="Gothic A1"/>
          <w:sz w:val="22"/>
          <w:szCs w:val="22"/>
          <w:rtl w:val="0"/>
        </w:rPr>
        <w:t xml:space="preserve">適合率と感度の調和平均。不均衡データにおけるバランス指標</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Brier Score：</w:t>
      </w:r>
      <w:r w:rsidDel="00000000" w:rsidR="00000000" w:rsidRPr="00000000">
        <w:rPr>
          <w:rFonts w:ascii="Gothic A1" w:cs="Gothic A1" w:eastAsia="Gothic A1" w:hAnsi="Gothic A1"/>
          <w:sz w:val="22"/>
          <w:szCs w:val="22"/>
          <w:rtl w:val="0"/>
        </w:rPr>
        <w:t xml:space="preserve">予測確率と実際の結果の平均二乗誤差。確率キャリブレーションの評価</w:t>
      </w:r>
      <w:r w:rsidDel="00000000" w:rsidR="00000000" w:rsidRPr="00000000">
        <w:rPr>
          <w:rtl w:val="0"/>
        </w:rPr>
      </w:r>
    </w:p>
    <w:p w:rsidR="00000000" w:rsidDel="00000000" w:rsidP="00000000" w:rsidRDefault="00000000" w:rsidRPr="00000000" w14:paraId="00000081">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4.3 臨床的有用性の評価</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Decision Curve Analysis (DCA)：</w:t>
      </w:r>
      <w:r w:rsidDel="00000000" w:rsidR="00000000" w:rsidRPr="00000000">
        <w:rPr>
          <w:rFonts w:ascii="Gothic A1" w:cs="Gothic A1" w:eastAsia="Gothic A1" w:hAnsi="Gothic A1"/>
          <w:sz w:val="22"/>
          <w:szCs w:val="22"/>
          <w:rtl w:val="0"/>
        </w:rPr>
        <w:t xml:space="preserve"> 各モデルのNet Benefitを閾値確率の範囲にわたって比較し、臨床的な意思決定における付加価値を評価する。</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キャリブレーションプロット：</w:t>
      </w:r>
      <w:r w:rsidDel="00000000" w:rsidR="00000000" w:rsidRPr="00000000">
        <w:rPr>
          <w:rFonts w:ascii="Gothic A1" w:cs="Gothic A1" w:eastAsia="Gothic A1" w:hAnsi="Gothic A1"/>
          <w:sz w:val="22"/>
          <w:szCs w:val="22"/>
          <w:rtl w:val="0"/>
        </w:rPr>
        <w:t xml:space="preserve"> 予測確率と実際の発生率の一致度を視覚的に評価する。</w:t>
      </w:r>
      <w:r w:rsidDel="00000000" w:rsidR="00000000" w:rsidRPr="00000000">
        <w:rPr>
          <w:rtl w:val="0"/>
        </w:rPr>
      </w:r>
    </w:p>
    <w:p w:rsidR="00000000" w:rsidDel="00000000" w:rsidP="00000000" w:rsidRDefault="00000000" w:rsidRPr="00000000" w14:paraId="00000084">
      <w:pPr>
        <w:pStyle w:val="Heading1"/>
        <w:spacing w:after="200" w:before="360" w:lineRule="auto"/>
        <w:rPr>
          <w:rFonts w:ascii="Gothic A1" w:cs="Gothic A1" w:eastAsia="Gothic A1" w:hAnsi="Gothic A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200" w:before="36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5. 医学的意義と期待される成果</w:t>
      </w:r>
    </w:p>
    <w:p w:rsidR="00000000" w:rsidDel="00000000" w:rsidP="00000000" w:rsidRDefault="00000000" w:rsidRPr="00000000" w14:paraId="00000086">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5.1 学術的意義</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新規性のある知見：</w:t>
      </w:r>
      <w:r w:rsidDel="00000000" w:rsidR="00000000" w:rsidRPr="00000000">
        <w:rPr>
          <w:rFonts w:ascii="Gothic A1" w:cs="Gothic A1" w:eastAsia="Gothic A1" w:hAnsi="Gothic A1"/>
          <w:sz w:val="22"/>
          <w:szCs w:val="22"/>
          <w:rtl w:val="0"/>
        </w:rPr>
        <w:t xml:space="preserve"> ACEsと予防医療行動の交互作用効果を確認的解析（RERI）と探索的解析（SHAP）の二層構造で定量化する試みは、予防精神医学において先駆的である。「逆境を経験した人が予防医療サービスにアクセスすることで精神疾患リスクがどの程度低減するか」を定量的に示すことは、ACE研究の新たな展開を示す。</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方法論的貢献：</w:t>
      </w:r>
      <w:r w:rsidDel="00000000" w:rsidR="00000000" w:rsidRPr="00000000">
        <w:rPr>
          <w:rFonts w:ascii="Gothic A1" w:cs="Gothic A1" w:eastAsia="Gothic A1" w:hAnsi="Gothic A1"/>
          <w:sz w:val="22"/>
          <w:szCs w:val="22"/>
          <w:rtl w:val="0"/>
        </w:rPr>
        <w:t xml:space="preserve"> DAGに基づく因果推論の枠組みの下で、確認的解析（ロジスティック回帰交互作用検定、RERI）と探索的解析（XGBoost、SHAP）の二層構造を採用することで、仮説検証の厳密性と探索的発見の柔軟性を両立するフレームワークを提示する。大規模全国代表データ（BRFSS）に対するこのアプローチは、同種の疫学研究の方法論的テンプレートとなり得る。</w:t>
      </w:r>
      <w:r w:rsidDel="00000000" w:rsidR="00000000" w:rsidRPr="00000000">
        <w:rPr>
          <w:rtl w:val="0"/>
        </w:rPr>
      </w:r>
    </w:p>
    <w:p w:rsidR="00000000" w:rsidDel="00000000" w:rsidP="00000000" w:rsidRDefault="00000000" w:rsidRPr="00000000" w14:paraId="00000089">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5.2 臨床的意義</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予防医療エンゲージメントの促進による介入指針：</w:t>
      </w:r>
      <w:r w:rsidDel="00000000" w:rsidR="00000000" w:rsidRPr="00000000">
        <w:rPr>
          <w:rFonts w:ascii="Gothic A1" w:cs="Gothic A1" w:eastAsia="Gothic A1" w:hAnsi="Gothic A1"/>
          <w:sz w:val="22"/>
          <w:szCs w:val="22"/>
          <w:rtl w:val="0"/>
        </w:rPr>
        <w:t xml:space="preserve"> 予防医療行動がACEsの悪影響を緩衝する因子として機能することが実証されれば、ACEsを経験した患者に対して予防医療サービスへの積極的参加を促す介入が、うつ病予防の一つの柱となり得ることを示す。プライマリケアの現場において、ACEsの既往がある患者に対して、精神科紹介や心理社会的支援に加えて、予防医療行動の促進という具体的な介入指針を提供できる。</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修正可能な保護因子の同定：</w:t>
      </w:r>
      <w:r w:rsidDel="00000000" w:rsidR="00000000" w:rsidRPr="00000000">
        <w:rPr>
          <w:rFonts w:ascii="Gothic A1" w:cs="Gothic A1" w:eastAsia="Gothic A1" w:hAnsi="Gothic A1"/>
          <w:sz w:val="22"/>
          <w:szCs w:val="22"/>
          <w:rtl w:val="0"/>
        </w:rPr>
        <w:t xml:space="preserve"> 予防医療行動という修正可能な因子がうつ病リスク低減に寄与することが実証されれば、「予防医療サービスへのアクセス改善がメンタルヘルス改善にも寄与する」というエビデンスを提供でき、保健政策の立案に資する。</w:t>
      </w:r>
      <w:r w:rsidDel="00000000" w:rsidR="00000000" w:rsidRPr="00000000">
        <w:rPr>
          <w:rtl w:val="0"/>
        </w:rPr>
      </w:r>
    </w:p>
    <w:p w:rsidR="00000000" w:rsidDel="00000000" w:rsidP="00000000" w:rsidRDefault="00000000" w:rsidRPr="00000000" w14:paraId="0000008C">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5.3 公衆衛生的意義</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健康格差への対応：</w:t>
      </w:r>
      <w:r w:rsidDel="00000000" w:rsidR="00000000" w:rsidRPr="00000000">
        <w:rPr>
          <w:rFonts w:ascii="Gothic A1" w:cs="Gothic A1" w:eastAsia="Gothic A1" w:hAnsi="Gothic A1"/>
          <w:sz w:val="22"/>
          <w:szCs w:val="22"/>
          <w:rtl w:val="0"/>
        </w:rPr>
        <w:t xml:space="preserve"> 予防医療行動の緩衝効果がSES層によってどう異なるかを明らかにすることで、「どの集団に予防医療アクセスの拡大が最も効果的か」を定量的に示す。低SES層で効果が大きければアクセス拡大の政策的根拠となり、逆に低SES層で効果が小さければフォローアップ体制の不備という構造的課題が浮き彫りになる。いずれの結果も公衆衛生政策にとって有意義な知見である。</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ACEs-informed careの推進：</w:t>
      </w:r>
      <w:r w:rsidDel="00000000" w:rsidR="00000000" w:rsidRPr="00000000">
        <w:rPr>
          <w:rFonts w:ascii="Gothic A1" w:cs="Gothic A1" w:eastAsia="Gothic A1" w:hAnsi="Gothic A1"/>
          <w:sz w:val="22"/>
          <w:szCs w:val="22"/>
          <w:rtl w:val="0"/>
        </w:rPr>
        <w:t xml:space="preserve"> 近年注目されている「トラウマ・インフォームドケア」の実践において、予防医療行動の促進が治療的介入と並ぶ重要な柱となり得ることを示唆するエビデンスを提供する。</w:t>
      </w:r>
      <w:r w:rsidDel="00000000" w:rsidR="00000000" w:rsidRPr="00000000">
        <w:rPr>
          <w:rtl w:val="0"/>
        </w:rPr>
      </w:r>
    </w:p>
    <w:p w:rsidR="00000000" w:rsidDel="00000000" w:rsidP="00000000" w:rsidRDefault="00000000" w:rsidRPr="00000000" w14:paraId="0000008F">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5.4 期待される成果物</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査読付き学術論文 1本（BMC Public Health、Journal of Affective Disorders、またはPLOS ONE等への投稿を想定）</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オープンソースのPythonコードベース（GitHub公開、再現可能な解析パイプライン）</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研究発表資料（学内発表および学会発表用）</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pPr>
      <w:r w:rsidDel="00000000" w:rsidR="00000000" w:rsidRPr="00000000">
        <w:rPr>
          <w:rFonts w:ascii="Gothic A1" w:cs="Gothic A1" w:eastAsia="Gothic A1" w:hAnsi="Gothic A1"/>
          <w:smallCaps w:val="0"/>
          <w:strike w:val="0"/>
          <w:sz w:val="22"/>
          <w:szCs w:val="22"/>
          <w:u w:val="none"/>
          <w:shd w:fill="auto" w:val="clear"/>
          <w:vertAlign w:val="baseline"/>
          <w:rtl w:val="0"/>
        </w:rPr>
        <w:t xml:space="preserve">将来の展望として、本研究の知見に基づくWebベースのリスク層別化ツールの開発方向性の提示</w:t>
      </w:r>
      <w:r w:rsidDel="00000000" w:rsidR="00000000" w:rsidRPr="00000000">
        <w:rPr>
          <w:rtl w:val="0"/>
        </w:rPr>
      </w:r>
    </w:p>
    <w:p w:rsidR="00000000" w:rsidDel="00000000" w:rsidP="00000000" w:rsidRDefault="00000000" w:rsidRPr="00000000" w14:paraId="00000094">
      <w:pPr>
        <w:pStyle w:val="Heading1"/>
        <w:spacing w:after="200" w:before="360" w:lineRule="auto"/>
        <w:rPr>
          <w:rFonts w:ascii="Gothic A1" w:cs="Gothic A1" w:eastAsia="Gothic A1" w:hAnsi="Gothic A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00" w:before="36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6. 倫理的配慮</w:t>
      </w:r>
    </w:p>
    <w:p w:rsidR="00000000" w:rsidDel="00000000" w:rsidP="00000000" w:rsidRDefault="00000000" w:rsidRPr="00000000" w14:paraId="00000096">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本研究はCDCが公開しているBRFSSの二次データを使用する。BRFSSデータは回答者の個人を特定できない形で匿名化されており、データ使用にあたって個別の同意取得は不要である。CDCはBRFSSデータの収集にあたり、すべての参加者からインフォームド・コンセントを取得しており、データ収集プロトコルはNCHSの倫理審査委員会による承認を受けている。</w:t>
      </w:r>
      <w:r w:rsidDel="00000000" w:rsidR="00000000" w:rsidRPr="00000000">
        <w:rPr>
          <w:rtl w:val="0"/>
        </w:rPr>
      </w:r>
    </w:p>
    <w:p w:rsidR="00000000" w:rsidDel="00000000" w:rsidP="00000000" w:rsidRDefault="00000000" w:rsidRPr="00000000" w14:paraId="00000097">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公開済みの匿名化二次データを用いた研究は、多くの機関においてIRB（Institutional Review Board）審査の免除対象となるが、研究開始前に所属大学の倫理審査委員会に確認を行い、免除の判定または正式な承認を得た上で研究を開始する。</w:t>
      </w:r>
      <w:r w:rsidDel="00000000" w:rsidR="00000000" w:rsidRPr="00000000">
        <w:rPr>
          <w:rtl w:val="0"/>
        </w:rPr>
      </w:r>
    </w:p>
    <w:p w:rsidR="00000000" w:rsidDel="00000000" w:rsidP="00000000" w:rsidRDefault="00000000" w:rsidRPr="00000000" w14:paraId="00000098">
      <w:pPr>
        <w:pStyle w:val="Heading1"/>
        <w:spacing w:after="200" w:before="360" w:lineRule="auto"/>
        <w:rPr>
          <w:rFonts w:ascii="Gothic A1" w:cs="Gothic A1" w:eastAsia="Gothic A1" w:hAnsi="Gothic A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200" w:before="360" w:lineRule="auto"/>
        <w:rPr>
          <w:rFonts w:ascii="Gothic A1" w:cs="Gothic A1" w:eastAsia="Gothic A1" w:hAnsi="Gothic A1"/>
          <w:color w:val="000000"/>
        </w:rPr>
      </w:pPr>
      <w:r w:rsidDel="00000000" w:rsidR="00000000" w:rsidRPr="00000000">
        <w:rPr>
          <w:rtl w:val="0"/>
        </w:rPr>
      </w:r>
    </w:p>
    <w:p w:rsidR="00000000" w:rsidDel="00000000" w:rsidP="00000000" w:rsidRDefault="00000000" w:rsidRPr="00000000" w14:paraId="0000009A">
      <w:pPr>
        <w:pStyle w:val="Heading1"/>
        <w:spacing w:after="200" w:before="36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7. 予想されるLimitation</w:t>
      </w:r>
    </w:p>
    <w:p w:rsidR="00000000" w:rsidDel="00000000" w:rsidP="00000000" w:rsidRDefault="00000000" w:rsidRPr="00000000" w14:paraId="0000009B">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7.1 データに起因する限界</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横断研究デザインの制約：</w:t>
      </w:r>
      <w:r w:rsidDel="00000000" w:rsidR="00000000" w:rsidRPr="00000000">
        <w:rPr>
          <w:rFonts w:ascii="Gothic A1" w:cs="Gothic A1" w:eastAsia="Gothic A1" w:hAnsi="Gothic A1"/>
          <w:sz w:val="22"/>
          <w:szCs w:val="22"/>
          <w:rtl w:val="0"/>
        </w:rPr>
        <w:t xml:space="preserve"> BRFSSは横断調査であるため、ACEsや予防医療行動とうつ病の間の因果関係を確立することはできない。得られた関連性はあくまで相関であり、因果推論には別途の縦断研究やランダム化比較試験が必要である。本研究ではDAGを用いて想定する因果構造を明示するが、横断データではDAG上の逆因果経路を統計的に制御することは不可能である。また、主アウトカム変数であるADDEPEV3は「医師にうつ病と診断されたことがあるか」という質問に基づいており、現在のうつ状態ではなく生涯診断を反映する可能性がある。この場合、現在の予防医療行動との時間的前後関係が曖昧になるため、結果の解釈には慎重を要する。</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自己申告バイアス：</w:t>
      </w:r>
      <w:r w:rsidDel="00000000" w:rsidR="00000000" w:rsidRPr="00000000">
        <w:rPr>
          <w:rFonts w:ascii="Gothic A1" w:cs="Gothic A1" w:eastAsia="Gothic A1" w:hAnsi="Gothic A1"/>
          <w:sz w:val="22"/>
          <w:szCs w:val="22"/>
          <w:rtl w:val="0"/>
        </w:rPr>
        <w:t xml:space="preserve"> BRFSSのすべての変数は自己申告に基づいており、うつ病の診断、ACEsの報告、予防医療行動の受診歴のいずれもが想起バイアスや社会的望ましさバイアスの影響を受ける可能性がある。特にACEsの回顧的報告は過少申告の傾向があることが知られている。</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ACEモジュールの限定的実施：</w:t>
      </w:r>
      <w:r w:rsidDel="00000000" w:rsidR="00000000" w:rsidRPr="00000000">
        <w:rPr>
          <w:rFonts w:ascii="Gothic A1" w:cs="Gothic A1" w:eastAsia="Gothic A1" w:hAnsi="Gothic A1"/>
          <w:sz w:val="22"/>
          <w:szCs w:val="22"/>
          <w:rtl w:val="0"/>
        </w:rPr>
        <w:t xml:space="preserve"> BRFSSのACEモジュールはオプショナルであり、すべての州が実施しているわけではない。このため、サンプルが全米を完全に代表しない可能性がある。分析対象となるサンプルサイズは全体の約45万人から数万〜十数万人に縮小される。ただし、2023年データとの統合によりサンプルサイズを拡大し、この制約を緩和する戦略をとる。</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米国集団への限定：</w:t>
      </w:r>
      <w:r w:rsidDel="00000000" w:rsidR="00000000" w:rsidRPr="00000000">
        <w:rPr>
          <w:rFonts w:ascii="Gothic A1" w:cs="Gothic A1" w:eastAsia="Gothic A1" w:hAnsi="Gothic A1"/>
          <w:sz w:val="22"/>
          <w:szCs w:val="22"/>
          <w:rtl w:val="0"/>
        </w:rPr>
        <w:t xml:space="preserve"> BRFSSは米国在住者を対象としており、得られた知見の国際的な一般化可能性は限定的である。特に日本を含む東アジア圏では、ACEsの構成要素や予防医療制度が大きく異なるため、直接的な適用には慎重を要する。</w:t>
      </w:r>
      <w:r w:rsidDel="00000000" w:rsidR="00000000" w:rsidRPr="00000000">
        <w:rPr>
          <w:rtl w:val="0"/>
        </w:rPr>
      </w:r>
    </w:p>
    <w:p w:rsidR="00000000" w:rsidDel="00000000" w:rsidP="00000000" w:rsidRDefault="00000000" w:rsidRPr="00000000" w14:paraId="000000A0">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7.2 方法論に起因する限界</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変数の選択バイアス：</w:t>
      </w:r>
      <w:r w:rsidDel="00000000" w:rsidR="00000000" w:rsidRPr="00000000">
        <w:rPr>
          <w:rFonts w:ascii="Gothic A1" w:cs="Gothic A1" w:eastAsia="Gothic A1" w:hAnsi="Gothic A1"/>
          <w:sz w:val="22"/>
          <w:szCs w:val="22"/>
          <w:rtl w:val="0"/>
        </w:rPr>
        <w:t xml:space="preserve"> BRFSSに含まれる変数のみを使用するため、うつ病に関連する重要な変数（遺伝的要因、生化学的マーカー、詳細な幼少期の環境情報等）が分析に含まれない。これにより、モデルの予測精度に上限が生じる可能性がある。</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交絡因子の制御の限界：</w:t>
      </w:r>
      <w:r w:rsidDel="00000000" w:rsidR="00000000" w:rsidRPr="00000000">
        <w:rPr>
          <w:rFonts w:ascii="Gothic A1" w:cs="Gothic A1" w:eastAsia="Gothic A1" w:hAnsi="Gothic A1"/>
          <w:sz w:val="22"/>
          <w:szCs w:val="22"/>
          <w:rtl w:val="0"/>
        </w:rPr>
        <w:t xml:space="preserve"> 観察研究である以上、すべての交絡因子を制御することは不可能である。DAGに基づく調整変数セットの選択により理論的に適切な共変量調整を行うが、DAGに含まれない未測定交絡因子が残存する可能性がある。この残余交絡の影響はE-valueにより定量的に評価する。</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逆因果の問題：</w:t>
      </w:r>
      <w:r w:rsidDel="00000000" w:rsidR="00000000" w:rsidRPr="00000000">
        <w:rPr>
          <w:rFonts w:ascii="Gothic A1" w:cs="Gothic A1" w:eastAsia="Gothic A1" w:hAnsi="Gothic A1"/>
          <w:sz w:val="22"/>
          <w:szCs w:val="22"/>
          <w:rtl w:val="0"/>
        </w:rPr>
        <w:t xml:space="preserve"> 横断データでは、「うつ病が先行し予防医療行動が低下する」という逆因果を排除できない。本研究では慢性疾患合併者除外サブ解析を実施して逆因果の影響を部分的に制御するが、この対処は完全ではない。DAG上で逆因果経路を明示し、この限界を透明に議論する。</w:t>
      </w:r>
      <w:r w:rsidDel="00000000" w:rsidR="00000000" w:rsidRPr="00000000">
        <w:rPr>
          <w:rtl w:val="0"/>
        </w:rPr>
      </w:r>
    </w:p>
    <w:p w:rsidR="00000000" w:rsidDel="00000000" w:rsidP="00000000" w:rsidRDefault="00000000" w:rsidRPr="00000000" w14:paraId="000000A4">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7.3 知見の一般化可能性に関する限界</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外的妥当性の未検証：</w:t>
      </w:r>
      <w:r w:rsidDel="00000000" w:rsidR="00000000" w:rsidRPr="00000000">
        <w:rPr>
          <w:rFonts w:ascii="Gothic A1" w:cs="Gothic A1" w:eastAsia="Gothic A1" w:hAnsi="Gothic A1"/>
          <w:sz w:val="22"/>
          <w:szCs w:val="22"/>
          <w:rtl w:val="0"/>
        </w:rPr>
        <w:t xml:space="preserve"> 本研究で得られた交互作用効果の推定値は、BRFSSの特定のサンプルに基づくものであり、独立した外部データセットでの検証は本研究の範囲外である。今後、独立した集団ベースのコホートデータでの再現性の確認が必要である。</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b w:val="1"/>
          <w:bCs w:val="1"/>
          <w:sz w:val="22"/>
          <w:szCs w:val="22"/>
          <w:rtl w:val="0"/>
        </w:rPr>
        <w:t xml:space="preserve">臨床的有用性の実証不足：</w:t>
      </w:r>
      <w:r w:rsidDel="00000000" w:rsidR="00000000" w:rsidRPr="00000000">
        <w:rPr>
          <w:rFonts w:ascii="Gothic A1" w:cs="Gothic A1" w:eastAsia="Gothic A1" w:hAnsi="Gothic A1"/>
          <w:sz w:val="22"/>
          <w:szCs w:val="22"/>
          <w:rtl w:val="0"/>
        </w:rPr>
        <w:t xml:space="preserve"> 予防医療行動の緩衝効果が実証されたとしても、その知見を臨床介入プログラムとして実装した場合に患者アウトカムが実際に改善されるかどうかは、実装研究（implementation study）やランダム化比較試験を通じて検証する必要がある。</w:t>
      </w:r>
      <w:r w:rsidDel="00000000" w:rsidR="00000000" w:rsidRPr="00000000">
        <w:rPr>
          <w:rtl w:val="0"/>
        </w:rPr>
      </w:r>
    </w:p>
    <w:p w:rsidR="00000000" w:rsidDel="00000000" w:rsidP="00000000" w:rsidRDefault="00000000" w:rsidRPr="00000000" w14:paraId="000000A7">
      <w:pPr>
        <w:pStyle w:val="Heading2"/>
        <w:spacing w:after="160" w:before="280" w:lineRule="auto"/>
        <w:rPr>
          <w:rFonts w:ascii="Gothic A1" w:cs="Gothic A1" w:eastAsia="Gothic A1" w:hAnsi="Gothic A1"/>
          <w:color w:val="000000"/>
        </w:rPr>
      </w:pPr>
      <w:r w:rsidDel="00000000" w:rsidR="00000000" w:rsidRPr="00000000">
        <w:rPr>
          <w:rFonts w:ascii="Gothic A1" w:cs="Gothic A1" w:eastAsia="Gothic A1" w:hAnsi="Gothic A1"/>
          <w:color w:val="000000"/>
          <w:rtl w:val="0"/>
        </w:rPr>
        <w:t xml:space="preserve">7.4 限界への対応策</w:t>
      </w:r>
    </w:p>
    <w:p w:rsidR="00000000" w:rsidDel="00000000" w:rsidP="00000000" w:rsidRDefault="00000000" w:rsidRPr="00000000" w14:paraId="000000A8">
      <w:pPr>
        <w:spacing w:after="160" w:line="340" w:lineRule="auto"/>
        <w:jc w:val="both"/>
        <w:rPr>
          <w:rFonts w:ascii="Gothic A1" w:cs="Gothic A1" w:eastAsia="Gothic A1" w:hAnsi="Gothic A1"/>
        </w:rPr>
      </w:pPr>
      <w:r w:rsidDel="00000000" w:rsidR="00000000" w:rsidRPr="00000000">
        <w:rPr>
          <w:rFonts w:ascii="Gothic A1" w:cs="Gothic A1" w:eastAsia="Gothic A1" w:hAnsi="Gothic A1"/>
          <w:sz w:val="22"/>
          <w:szCs w:val="22"/>
          <w:rtl w:val="0"/>
        </w:rPr>
        <w:t xml:space="preserve">上記の限界を認識した上で、以下の対応策を講じる。</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DAGに基づく因果構造の明示化と、理論的に適切な調整変数セットの選択</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E-valueの算出による残余交絡に対する推定値の頑健性評価</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慢性疾患合併者除外サブ解析による逆因果の部分的制御</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PHQ-8を副次アウトカムとした頑健性確認（ADDEPEV3の生涯診断バイアスへの対処）</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州をグルーピング変数としたGroupKFoldによる適切な交差検証</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サンプリングウェイト有無の感度分析によるウェイト設定の影響評価</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Bootstrap法による信頼区間の推定によるモデルのロバスト性確認</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横断研究の限界は論文中で明示的に議論し、因果推論的な文言を回避する</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40" w:lineRule="auto"/>
        <w:ind w:left="720" w:right="0" w:hanging="360"/>
        <w:jc w:val="left"/>
        <w:rPr>
          <w:rFonts w:ascii="Gothic A1" w:cs="Gothic A1" w:eastAsia="Gothic A1" w:hAnsi="Gothic A1"/>
        </w:rPr>
      </w:pPr>
      <w:r w:rsidDel="00000000" w:rsidR="00000000" w:rsidRPr="00000000">
        <w:rPr>
          <w:rFonts w:ascii="Gothic A1" w:cs="Gothic A1" w:eastAsia="Gothic A1" w:hAnsi="Gothic A1"/>
          <w:sz w:val="22"/>
          <w:szCs w:val="22"/>
          <w:rtl w:val="0"/>
        </w:rPr>
        <w:t xml:space="preserve">将来の研究方向として、縦断データ（例：NLSY、Add Health）での検証を提言する</w:t>
      </w:r>
      <w:r w:rsidDel="00000000" w:rsidR="00000000" w:rsidRPr="00000000">
        <w:rPr>
          <w:rtl w:val="0"/>
        </w:rPr>
      </w:r>
    </w:p>
    <w:p w:rsidR="00000000" w:rsidDel="00000000" w:rsidP="00000000" w:rsidRDefault="00000000" w:rsidRPr="00000000" w14:paraId="000000B2">
      <w:pPr>
        <w:spacing w:after="80" w:lineRule="auto"/>
        <w:rPr>
          <w:rFonts w:ascii="Gothic A1" w:cs="Gothic A1" w:eastAsia="Gothic A1" w:hAnsi="Gothic A1"/>
        </w:rPr>
      </w:pPr>
      <w:r w:rsidDel="00000000" w:rsidR="00000000" w:rsidRPr="00000000">
        <w:rPr>
          <w:rtl w:val="0"/>
        </w:rPr>
      </w:r>
    </w:p>
    <w:p w:rsidR="00000000" w:rsidDel="00000000" w:rsidP="00000000" w:rsidRDefault="00000000" w:rsidRPr="00000000" w14:paraId="000000B3">
      <w:pPr>
        <w:spacing w:before="120" w:lineRule="auto"/>
        <w:jc w:val="left"/>
        <w:rPr>
          <w:rFonts w:ascii="Gothic A1" w:cs="Gothic A1" w:eastAsia="Gothic A1" w:hAnsi="Gothic A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thic A1">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dc.gov/brfss/annual_data/annual_2024.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thicA1-regular.ttf"/><Relationship Id="rId2" Type="http://schemas.openxmlformats.org/officeDocument/2006/relationships/font" Target="fonts/GothicA1-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0Tq0EfF918jWvSkcQ4h962HCA==">CgMxLjA4AHIhMUtfRV9pRDVtQlRFMEVFZWR2MjlRTUZvLVFqelFkYTdm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