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Hephaestus NG — 30-Day Detailed Report</w:t>
      </w:r>
    </w:p>
    <w:p>
      <w:r>
        <w:t>Period: March 10 – April 9, 2026  |  Regions: East US 2, Sweden Central</w:t>
        <w:br/>
        <w:t>Team: AskAI Service Team  |  Manager: Nupur Kinger</w:t>
        <w:br/>
        <w:t>Members: Amit Chauhan, Mohammed Sheraj, Kshitij Chawla, Ayushh Garg</w:t>
      </w:r>
    </w:p>
    <w:p>
      <w:pPr>
        <w:pStyle w:val="Heading1"/>
      </w:pPr>
      <w:r>
        <w:t>1. Executive Summary</w:t>
      </w:r>
    </w:p>
    <w:p>
      <w:r>
        <w:t>Over the last 30 days, Hephaestus NG processed 91,371 total requests across East US 2 (83%) and Sweden Central (17%), serving 15,453 unique users. The service maintained ~100% success rate throughout, with P95 latency at 5–6s. V2 (triage) traffic was just 1,319 requests (1.4%), confirming migration to NG is effectively complete.</w:t>
      </w:r>
    </w:p>
    <w:p>
      <w:pPr>
        <w:pStyle w:val="Heading1"/>
      </w:pPr>
      <w:r>
        <w:t>2. Request Volume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NG Requests (30d)</w:t>
            </w:r>
          </w:p>
        </w:tc>
        <w:tc>
          <w:tcPr>
            <w:tcW w:type="dxa" w:w="4320"/>
          </w:tcPr>
          <w:p>
            <w:r>
              <w:t>91,371</w:t>
            </w:r>
          </w:p>
        </w:tc>
      </w:tr>
      <w:tr>
        <w:tc>
          <w:tcPr>
            <w:tcW w:type="dxa" w:w="4320"/>
          </w:tcPr>
          <w:p>
            <w:r>
              <w:t>Avg Weekday Requests</w:t>
            </w:r>
          </w:p>
        </w:tc>
        <w:tc>
          <w:tcPr>
            <w:tcW w:type="dxa" w:w="4320"/>
          </w:tcPr>
          <w:p>
            <w:r>
              <w:t>~3,600/day</w:t>
            </w:r>
          </w:p>
        </w:tc>
      </w:tr>
      <w:tr>
        <w:tc>
          <w:tcPr>
            <w:tcW w:type="dxa" w:w="4320"/>
          </w:tcPr>
          <w:p>
            <w:r>
              <w:t>Avg Weekend Requests</w:t>
            </w:r>
          </w:p>
        </w:tc>
        <w:tc>
          <w:tcPr>
            <w:tcW w:type="dxa" w:w="4320"/>
          </w:tcPr>
          <w:p>
            <w:r>
              <w:t>~1,400/day</w:t>
            </w:r>
          </w:p>
        </w:tc>
      </w:tr>
      <w:tr>
        <w:tc>
          <w:tcPr>
            <w:tcW w:type="dxa" w:w="4320"/>
          </w:tcPr>
          <w:p>
            <w:r>
              <w:t>East US 2 Share</w:t>
            </w:r>
          </w:p>
        </w:tc>
        <w:tc>
          <w:tcPr>
            <w:tcW w:type="dxa" w:w="4320"/>
          </w:tcPr>
          <w:p>
            <w:r>
              <w:t>83%</w:t>
            </w:r>
          </w:p>
        </w:tc>
      </w:tr>
      <w:tr>
        <w:tc>
          <w:tcPr>
            <w:tcW w:type="dxa" w:w="4320"/>
          </w:tcPr>
          <w:p>
            <w:r>
              <w:t>Sweden Central Share</w:t>
            </w:r>
          </w:p>
        </w:tc>
        <w:tc>
          <w:tcPr>
            <w:tcW w:type="dxa" w:w="4320"/>
          </w:tcPr>
          <w:p>
            <w:r>
              <w:t>17%</w:t>
            </w:r>
          </w:p>
        </w:tc>
      </w:tr>
    </w:tbl>
    <w:p/>
    <w:p>
      <w:pPr>
        <w:pStyle w:val="Heading2"/>
      </w:pPr>
      <w:r>
        <w:t>Daily Request Volume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Total Requests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3,141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5,174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4,710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4,834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1,457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1,535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4,313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5,357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5,190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4,328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3,187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1,331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1,435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3,969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4,420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4,231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4,402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3,624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1,429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1,496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3,949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4,202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4,051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3,659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2,525</w:t>
            </w:r>
          </w:p>
        </w:tc>
      </w:tr>
    </w:tbl>
    <w:p>
      <w:pPr>
        <w:pStyle w:val="Heading2"/>
      </w:pPr>
      <w:r>
        <w:t>KQL — NG Request Volume</w:t>
      </w:r>
    </w:p>
    <w:p>
      <w:pPr>
        <w:pStyle w:val="NoSpacing"/>
      </w:pPr>
      <w:r>
        <w:t>let timeGrain = _period * 1h;</w:t>
        <w:br/>
        <w:t>UnionOfAllLogs("Vienna", "requests")</w:t>
        <w:br/>
        <w:t>| where operation_Name == "POST Hephaestus/ColdStart"</w:t>
        <w:br/>
        <w:t xml:space="preserve">    or operation_Name == "POST Hephaestus/ChatStream"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where operation_Name != "GET Version/Ping"</w:t>
        <w:br/>
        <w:t>| summarize count=count() by bin(timestamp, timeGrain), type, env</w:t>
      </w:r>
    </w:p>
    <w:p>
      <w:r>
        <w:t>Dashboard tile: https://dataexplorer.azure.com/dashboards/4584380f-1dcf-43ff-b174-beb56a9a51ea?p-_startTime=30days&amp;p-_endTime=now&amp;p-_env=v-eastus2&amp;p-_env=v-swedencentral&amp;tile=400a95ab-6ff8-4bd4-bbae-18898d1a54a0</w:t>
      </w:r>
    </w:p>
    <w:p>
      <w:pPr>
        <w:pStyle w:val="Heading1"/>
      </w:pPr>
      <w:r>
        <w:t>3. User Engagement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Unique Users (30d)</w:t>
            </w:r>
          </w:p>
        </w:tc>
        <w:tc>
          <w:tcPr>
            <w:tcW w:type="dxa" w:w="4320"/>
          </w:tcPr>
          <w:p>
            <w:r>
              <w:t>15,453</w:t>
            </w:r>
          </w:p>
        </w:tc>
      </w:tr>
      <w:tr>
        <w:tc>
          <w:tcPr>
            <w:tcW w:type="dxa" w:w="4320"/>
          </w:tcPr>
          <w:p>
            <w:r>
              <w:t>Avg Weekday DAU</w:t>
            </w:r>
          </w:p>
        </w:tc>
        <w:tc>
          <w:tcPr>
            <w:tcW w:type="dxa" w:w="4320"/>
          </w:tcPr>
          <w:p>
            <w:r>
              <w:t>~700</w:t>
            </w:r>
          </w:p>
        </w:tc>
      </w:tr>
      <w:tr>
        <w:tc>
          <w:tcPr>
            <w:tcW w:type="dxa" w:w="4320"/>
          </w:tcPr>
          <w:p>
            <w:r>
              <w:t>Avg Weekend DAU</w:t>
            </w:r>
          </w:p>
        </w:tc>
        <w:tc>
          <w:tcPr>
            <w:tcW w:type="dxa" w:w="4320"/>
          </w:tcPr>
          <w:p>
            <w:r>
              <w:t>~235</w:t>
            </w:r>
          </w:p>
        </w:tc>
      </w:tr>
      <w:tr>
        <w:tc>
          <w:tcPr>
            <w:tcW w:type="dxa" w:w="4320"/>
          </w:tcPr>
          <w:p>
            <w:r>
              <w:t>Peak Day</w:t>
            </w:r>
          </w:p>
        </w:tc>
        <w:tc>
          <w:tcPr>
            <w:tcW w:type="dxa" w:w="4320"/>
          </w:tcPr>
          <w:p>
            <w:r>
              <w:t>799 (Mar 12)</w:t>
            </w:r>
          </w:p>
        </w:tc>
      </w:tr>
    </w:tbl>
    <w:p/>
    <w:p>
      <w:pPr>
        <w:pStyle w:val="Heading2"/>
      </w:pPr>
      <w:r>
        <w:t>Daily Unique Users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Unique Users</w:t>
            </w:r>
          </w:p>
        </w:tc>
      </w:tr>
      <w:tr>
        <w:tc>
          <w:tcPr>
            <w:tcW w:type="dxa" w:w="4320"/>
          </w:tcPr>
          <w:p>
            <w:r>
              <w:t>Mar 10</w:t>
            </w:r>
          </w:p>
        </w:tc>
        <w:tc>
          <w:tcPr>
            <w:tcW w:type="dxa" w:w="4320"/>
          </w:tcPr>
          <w:p>
            <w:r>
              <w:t>469</w:t>
            </w:r>
          </w:p>
        </w:tc>
      </w:tr>
      <w:tr>
        <w:tc>
          <w:tcPr>
            <w:tcW w:type="dxa" w:w="4320"/>
          </w:tcPr>
          <w:p>
            <w:r>
              <w:t>Mar 11</w:t>
            </w:r>
          </w:p>
        </w:tc>
        <w:tc>
          <w:tcPr>
            <w:tcW w:type="dxa" w:w="4320"/>
          </w:tcPr>
          <w:p>
            <w:r>
              <w:t>760</w:t>
            </w:r>
          </w:p>
        </w:tc>
      </w:tr>
      <w:tr>
        <w:tc>
          <w:tcPr>
            <w:tcW w:type="dxa" w:w="4320"/>
          </w:tcPr>
          <w:p>
            <w:r>
              <w:t>Mar 12</w:t>
            </w:r>
          </w:p>
        </w:tc>
        <w:tc>
          <w:tcPr>
            <w:tcW w:type="dxa" w:w="4320"/>
          </w:tcPr>
          <w:p>
            <w:r>
              <w:t>799</w:t>
            </w:r>
          </w:p>
        </w:tc>
      </w:tr>
      <w:tr>
        <w:tc>
          <w:tcPr>
            <w:tcW w:type="dxa" w:w="4320"/>
          </w:tcPr>
          <w:p>
            <w:r>
              <w:t>Mar 13</w:t>
            </w:r>
          </w:p>
        </w:tc>
        <w:tc>
          <w:tcPr>
            <w:tcW w:type="dxa" w:w="4320"/>
          </w:tcPr>
          <w:p>
            <w:r>
              <w:t>687</w:t>
            </w:r>
          </w:p>
        </w:tc>
      </w:tr>
      <w:tr>
        <w:tc>
          <w:tcPr>
            <w:tcW w:type="dxa" w:w="4320"/>
          </w:tcPr>
          <w:p>
            <w:r>
              <w:t>Mar 14</w:t>
            </w:r>
          </w:p>
        </w:tc>
        <w:tc>
          <w:tcPr>
            <w:tcW w:type="dxa" w:w="4320"/>
          </w:tcPr>
          <w:p>
            <w:r>
              <w:t>235</w:t>
            </w:r>
          </w:p>
        </w:tc>
      </w:tr>
      <w:tr>
        <w:tc>
          <w:tcPr>
            <w:tcW w:type="dxa" w:w="4320"/>
          </w:tcPr>
          <w:p>
            <w:r>
              <w:t>Mar 15</w:t>
            </w:r>
          </w:p>
        </w:tc>
        <w:tc>
          <w:tcPr>
            <w:tcW w:type="dxa" w:w="4320"/>
          </w:tcPr>
          <w:p>
            <w:r>
              <w:t>251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724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752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739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673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496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222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236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681</w:t>
            </w:r>
          </w:p>
        </w:tc>
      </w:tr>
      <w:tr>
        <w:tc>
          <w:tcPr>
            <w:tcW w:type="dxa" w:w="4320"/>
          </w:tcPr>
          <w:p>
            <w:r>
              <w:t>Mar 24</w:t>
            </w:r>
          </w:p>
        </w:tc>
        <w:tc>
          <w:tcPr>
            <w:tcW w:type="dxa" w:w="4320"/>
          </w:tcPr>
          <w:p>
            <w:r>
              <w:t>716</w:t>
            </w:r>
          </w:p>
        </w:tc>
      </w:tr>
      <w:tr>
        <w:tc>
          <w:tcPr>
            <w:tcW w:type="dxa" w:w="4320"/>
          </w:tcPr>
          <w:p>
            <w:r>
              <w:t>Mar 25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Mar 26</w:t>
            </w:r>
          </w:p>
        </w:tc>
        <w:tc>
          <w:tcPr>
            <w:tcW w:type="dxa" w:w="4320"/>
          </w:tcPr>
          <w:p>
            <w:r>
              <w:t>715</w:t>
            </w:r>
          </w:p>
        </w:tc>
      </w:tr>
      <w:tr>
        <w:tc>
          <w:tcPr>
            <w:tcW w:type="dxa" w:w="4320"/>
          </w:tcPr>
          <w:p>
            <w:r>
              <w:t>Mar 27</w:t>
            </w:r>
          </w:p>
        </w:tc>
        <w:tc>
          <w:tcPr>
            <w:tcW w:type="dxa" w:w="4320"/>
          </w:tcPr>
          <w:p>
            <w:r>
              <w:t>625</w:t>
            </w:r>
          </w:p>
        </w:tc>
      </w:tr>
      <w:tr>
        <w:tc>
          <w:tcPr>
            <w:tcW w:type="dxa" w:w="4320"/>
          </w:tcPr>
          <w:p>
            <w:r>
              <w:t>Mar 28</w:t>
            </w:r>
          </w:p>
        </w:tc>
        <w:tc>
          <w:tcPr>
            <w:tcW w:type="dxa" w:w="4320"/>
          </w:tcPr>
          <w:p>
            <w:r>
              <w:t>208</w:t>
            </w:r>
          </w:p>
        </w:tc>
      </w:tr>
      <w:tr>
        <w:tc>
          <w:tcPr>
            <w:tcW w:type="dxa" w:w="4320"/>
          </w:tcPr>
          <w:p>
            <w:r>
              <w:t>Mar 29</w:t>
            </w:r>
          </w:p>
        </w:tc>
        <w:tc>
          <w:tcPr>
            <w:tcW w:type="dxa" w:w="4320"/>
          </w:tcPr>
          <w:p>
            <w:r>
              <w:t>241</w:t>
            </w:r>
          </w:p>
        </w:tc>
      </w:tr>
      <w:tr>
        <w:tc>
          <w:tcPr>
            <w:tcW w:type="dxa" w:w="4320"/>
          </w:tcPr>
          <w:p>
            <w:r>
              <w:t>Mar 30</w:t>
            </w:r>
          </w:p>
        </w:tc>
        <w:tc>
          <w:tcPr>
            <w:tcW w:type="dxa" w:w="4320"/>
          </w:tcPr>
          <w:p>
            <w:r>
              <w:t>663</w:t>
            </w:r>
          </w:p>
        </w:tc>
      </w:tr>
      <w:tr>
        <w:tc>
          <w:tcPr>
            <w:tcW w:type="dxa" w:w="4320"/>
          </w:tcPr>
          <w:p>
            <w:r>
              <w:t>Mar 31</w:t>
            </w:r>
          </w:p>
        </w:tc>
        <w:tc>
          <w:tcPr>
            <w:tcW w:type="dxa" w:w="4320"/>
          </w:tcPr>
          <w:p>
            <w:r>
              <w:t>707</w:t>
            </w:r>
          </w:p>
        </w:tc>
      </w:tr>
      <w:tr>
        <w:tc>
          <w:tcPr>
            <w:tcW w:type="dxa" w:w="4320"/>
          </w:tcPr>
          <w:p>
            <w:r>
              <w:t>Apr 01</w:t>
            </w:r>
          </w:p>
        </w:tc>
        <w:tc>
          <w:tcPr>
            <w:tcW w:type="dxa" w:w="4320"/>
          </w:tcPr>
          <w:p>
            <w:r>
              <w:t>703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612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440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234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237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493</w:t>
            </w:r>
          </w:p>
        </w:tc>
      </w:tr>
      <w:tr>
        <w:tc>
          <w:tcPr>
            <w:tcW w:type="dxa" w:w="4320"/>
          </w:tcPr>
          <w:p>
            <w:r>
              <w:t>Apr 07</w:t>
            </w:r>
          </w:p>
        </w:tc>
        <w:tc>
          <w:tcPr>
            <w:tcW w:type="dxa" w:w="4320"/>
          </w:tcPr>
          <w:p>
            <w:r>
              <w:t>697</w:t>
            </w:r>
          </w:p>
        </w:tc>
      </w:tr>
      <w:tr>
        <w:tc>
          <w:tcPr>
            <w:tcW w:type="dxa" w:w="4320"/>
          </w:tcPr>
          <w:p>
            <w:r>
              <w:t>Apr 08</w:t>
            </w:r>
          </w:p>
        </w:tc>
        <w:tc>
          <w:tcPr>
            <w:tcW w:type="dxa" w:w="4320"/>
          </w:tcPr>
          <w:p>
            <w:r>
              <w:t>730</w:t>
            </w:r>
          </w:p>
        </w:tc>
      </w:tr>
      <w:tr>
        <w:tc>
          <w:tcPr>
            <w:tcW w:type="dxa" w:w="4320"/>
          </w:tcPr>
          <w:p>
            <w:r>
              <w:t>Apr 09</w:t>
            </w:r>
          </w:p>
        </w:tc>
        <w:tc>
          <w:tcPr>
            <w:tcW w:type="dxa" w:w="4320"/>
          </w:tcPr>
          <w:p>
            <w:r>
              <w:t>354</w:t>
            </w:r>
          </w:p>
        </w:tc>
      </w:tr>
    </w:tbl>
    <w:p>
      <w:pPr>
        <w:pStyle w:val="Heading2"/>
      </w:pPr>
      <w:r>
        <w:t>KQL — Daily Unique Users</w:t>
      </w:r>
    </w:p>
    <w:p>
      <w:pPr>
        <w:pStyle w:val="NoSpacing"/>
      </w:pPr>
      <w:r>
        <w:t>UnionOfAllLogs("Vienna", "requests")</w:t>
        <w:br/>
        <w:t>| where operation_Name in ("POST Hephaestus/ColdStart",</w:t>
        <w:br/>
        <w:t xml:space="preserve">    "POST Hephaestus/ChatStream")</w:t>
        <w:br/>
        <w:t>| where PreciseTimeStamp &gt;= _startTime and PreciseTimeStamp &lt;= _endTime</w:t>
        <w:br/>
        <w:t xml:space="preserve">    and env in (_env)</w:t>
        <w:br/>
        <w:t>| where app == "hephaestus-agent"</w:t>
        <w:br/>
        <w:t>| summarize UniqueUsers = dcount(user_Id) by bin(timestamp, 1d)</w:t>
        <w:br/>
        <w:t>| order by timestamp asc</w:t>
      </w:r>
    </w:p>
    <w:p>
      <w:pPr>
        <w:pStyle w:val="Heading1"/>
      </w:pPr>
      <w:r>
        <w:t>4. SLO Performance</w:t>
      </w:r>
    </w:p>
    <w:p>
      <w:pPr>
        <w:pStyle w:val="Heading2"/>
      </w:pPr>
      <w:r>
        <w:t>4.1 Success Rate</w:t>
      </w:r>
    </w:p>
    <w:p>
      <w:r>
        <w:t>The service maintained ~100% success rate across all 31 days. Only 3 days dipped marginally below 100%: Mar 17 (99.945%), Mar 21 (99.881%), Mar 22 (99.894%).</w:t>
      </w:r>
    </w:p>
    <w:p>
      <w:r>
        <w:t>Note on &gt;100% raw values: The telemetry formula counts retried requests that eventually succeed — the denominator is unique request IDs but the numerator includes successful retries. All values are capped at 100% in this report.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Avg Success Rate</w:t>
            </w:r>
          </w:p>
        </w:tc>
        <w:tc>
          <w:tcPr>
            <w:tcW w:type="dxa" w:w="4320"/>
          </w:tcPr>
          <w:p>
            <w:r>
              <w:t>~100%</w:t>
            </w:r>
          </w:p>
        </w:tc>
      </w:tr>
      <w:tr>
        <w:tc>
          <w:tcPr>
            <w:tcW w:type="dxa" w:w="4320"/>
          </w:tcPr>
          <w:p>
            <w:r>
              <w:t>Minimum (raw)</w:t>
            </w:r>
          </w:p>
        </w:tc>
        <w:tc>
          <w:tcPr>
            <w:tcW w:type="dxa" w:w="4320"/>
          </w:tcPr>
          <w:p>
            <w:r>
              <w:t>99.881% (Mar 21)</w:t>
            </w:r>
          </w:p>
        </w:tc>
      </w:tr>
      <w:tr>
        <w:tc>
          <w:tcPr>
            <w:tcW w:type="dxa" w:w="4320"/>
          </w:tcPr>
          <w:p>
            <w:r>
              <w:t>Maximum (raw)</w:t>
            </w:r>
          </w:p>
        </w:tc>
        <w:tc>
          <w:tcPr>
            <w:tcW w:type="dxa" w:w="4320"/>
          </w:tcPr>
          <w:p>
            <w:r>
              <w:t>100.635% (Apr 9)</w:t>
            </w:r>
          </w:p>
        </w:tc>
      </w:tr>
      <w:tr>
        <w:tc>
          <w:tcPr>
            <w:tcW w:type="dxa" w:w="4320"/>
          </w:tcPr>
          <w:p>
            <w:r>
              <w:t>Days ≥ 100%</w:t>
            </w:r>
          </w:p>
        </w:tc>
        <w:tc>
          <w:tcPr>
            <w:tcW w:type="dxa" w:w="4320"/>
          </w:tcPr>
          <w:p>
            <w:r>
              <w:t>28 of 31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https://dataexplorer.azure.com/dashboards/4584380f-1dcf-43ff-b174-beb56a9a51ea?p-_startTime=30days&amp;p-_endTime=now&amp;p-_env=v-eastus2&amp;p-_env=v-swedencentral&amp;tile=20253c74-5866-4fa1-bf3c-d62c65ab710e</w:t>
      </w:r>
    </w:p>
    <w:p>
      <w:pPr>
        <w:pStyle w:val="Heading2"/>
      </w:pPr>
      <w:r>
        <w:t>4.2 P95 Latency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P95</w:t>
            </w:r>
          </w:p>
        </w:tc>
        <w:tc>
          <w:tcPr>
            <w:tcW w:type="dxa" w:w="4320"/>
          </w:tcPr>
          <w:p>
            <w:r>
              <w:t>5,000–6,000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~3,336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~8,423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✅ Healthy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https://dataexplorer.azure.com/dashboards/4584380f-1dcf-43ff-b174-beb56a9a51ea?p-_startTime=30days&amp;p-_endTime=now&amp;p-_env=v-eastus2&amp;p-_env=v-swedencentral&amp;tile=5bf7b1d4-63e0-4af6-8f26-7d0f4297412a</w:t>
      </w:r>
    </w:p>
    <w:p>
      <w:pPr>
        <w:pStyle w:val="Heading2"/>
      </w:pPr>
      <w:r>
        <w:t>4.3 P99 Latency (TTFB)</w:t>
      </w:r>
    </w:p>
    <w:p>
      <w:r>
        <w:t>Typically 6,000–8,000 ms. Periodic spikes to ~100–109s are cold-start timeout/retry events at the 99th percentile, affecting &lt;1% of requests.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Typical P99</w:t>
            </w:r>
          </w:p>
        </w:tc>
        <w:tc>
          <w:tcPr>
            <w:tcW w:type="dxa" w:w="4320"/>
          </w:tcPr>
          <w:p>
            <w:r>
              <w:t>6,000–8,000 ms</w:t>
            </w:r>
          </w:p>
        </w:tc>
      </w:tr>
      <w:tr>
        <w:tc>
          <w:tcPr>
            <w:tcW w:type="dxa" w:w="4320"/>
          </w:tcPr>
          <w:p>
            <w:r>
              <w:t>Best Observed</w:t>
            </w:r>
          </w:p>
        </w:tc>
        <w:tc>
          <w:tcPr>
            <w:tcW w:type="dxa" w:w="4320"/>
          </w:tcPr>
          <w:p>
            <w:r>
              <w:t>~3,970 ms</w:t>
            </w:r>
          </w:p>
        </w:tc>
      </w:tr>
      <w:tr>
        <w:tc>
          <w:tcPr>
            <w:tcW w:type="dxa" w:w="4320"/>
          </w:tcPr>
          <w:p>
            <w:r>
              <w:t>Worst Spike</w:t>
            </w:r>
          </w:p>
        </w:tc>
        <w:tc>
          <w:tcPr>
            <w:tcW w:type="dxa" w:w="4320"/>
          </w:tcPr>
          <w:p>
            <w:r>
              <w:t>~109,258 ms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⚠️ Monitor spikes</w:t>
            </w:r>
          </w:p>
        </w:tc>
      </w:tr>
    </w:tbl>
    <w:p>
      <w:r>
        <w:t>Dashboard tile: https://dataexplorer.azure.com/dashboards/4584380f-1dcf-43ff-b174-beb56a9a51ea?p-_startTime=30days&amp;p-_endTime=now&amp;p-_env=v-eastus2&amp;p-_env=v-swedencentral&amp;tile=c1c9cc13-1713-43b4-b0ed-36d94d192c0c</w:t>
      </w:r>
    </w:p>
    <w:p>
      <w:pPr>
        <w:pStyle w:val="Heading1"/>
      </w:pPr>
      <w:r>
        <w:t>5. V2 → NG Migration Status</w:t>
      </w:r>
    </w:p>
    <w:p>
      <w:r>
        <w:t>V2 (triage agent) processed 1,319 requests in 30 days (1.4%), compared to NG's 91,371 (98.6%). Multiple days had zero V2 requests (Mar 24–Apr 1). Migration is effectively complete.</w:t>
      </w:r>
    </w:p>
    <w:tbl>
      <w:tblPr>
        <w:tblStyle w:val="MediumShading1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V2 Requests</w:t>
            </w:r>
          </w:p>
        </w:tc>
      </w:tr>
      <w:tr>
        <w:tc>
          <w:tcPr>
            <w:tcW w:type="dxa" w:w="4320"/>
          </w:tcPr>
          <w:p>
            <w:r>
              <w:t>Mar 16</w:t>
            </w:r>
          </w:p>
        </w:tc>
        <w:tc>
          <w:tcPr>
            <w:tcW w:type="dxa" w:w="4320"/>
          </w:tcPr>
          <w:p>
            <w:r>
              <w:t>72</w:t>
            </w:r>
          </w:p>
        </w:tc>
      </w:tr>
      <w:tr>
        <w:tc>
          <w:tcPr>
            <w:tcW w:type="dxa" w:w="4320"/>
          </w:tcPr>
          <w:p>
            <w:r>
              <w:t>Mar 17</w:t>
            </w:r>
          </w:p>
        </w:tc>
        <w:tc>
          <w:tcPr>
            <w:tcW w:type="dxa" w:w="4320"/>
          </w:tcPr>
          <w:p>
            <w:r>
              <w:t>69</w:t>
            </w:r>
          </w:p>
        </w:tc>
      </w:tr>
      <w:tr>
        <w:tc>
          <w:tcPr>
            <w:tcW w:type="dxa" w:w="4320"/>
          </w:tcPr>
          <w:p>
            <w:r>
              <w:t>Mar 18</w:t>
            </w:r>
          </w:p>
        </w:tc>
        <w:tc>
          <w:tcPr>
            <w:tcW w:type="dxa" w:w="4320"/>
          </w:tcPr>
          <w:p>
            <w:r>
              <w:t>61</w:t>
            </w:r>
          </w:p>
        </w:tc>
      </w:tr>
      <w:tr>
        <w:tc>
          <w:tcPr>
            <w:tcW w:type="dxa" w:w="4320"/>
          </w:tcPr>
          <w:p>
            <w:r>
              <w:t>Mar 19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Mar 20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Mar 21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Mar 22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Mar 23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Apr 02</w:t>
            </w:r>
          </w:p>
        </w:tc>
        <w:tc>
          <w:tcPr>
            <w:tcW w:type="dxa" w:w="4320"/>
          </w:tcPr>
          <w:p>
            <w:r>
              <w:t>232</w:t>
            </w:r>
          </w:p>
        </w:tc>
      </w:tr>
      <w:tr>
        <w:tc>
          <w:tcPr>
            <w:tcW w:type="dxa" w:w="4320"/>
          </w:tcPr>
          <w:p>
            <w:r>
              <w:t>Apr 03</w:t>
            </w:r>
          </w:p>
        </w:tc>
        <w:tc>
          <w:tcPr>
            <w:tcW w:type="dxa" w:w="4320"/>
          </w:tcPr>
          <w:p>
            <w:r>
              <w:t>230</w:t>
            </w:r>
          </w:p>
        </w:tc>
      </w:tr>
      <w:tr>
        <w:tc>
          <w:tcPr>
            <w:tcW w:type="dxa" w:w="4320"/>
          </w:tcPr>
          <w:p>
            <w:r>
              <w:t>Apr 04</w:t>
            </w:r>
          </w:p>
        </w:tc>
        <w:tc>
          <w:tcPr>
            <w:tcW w:type="dxa" w:w="4320"/>
          </w:tcPr>
          <w:p>
            <w:r>
              <w:t>125</w:t>
            </w:r>
          </w:p>
        </w:tc>
      </w:tr>
      <w:tr>
        <w:tc>
          <w:tcPr>
            <w:tcW w:type="dxa" w:w="4320"/>
          </w:tcPr>
          <w:p>
            <w:r>
              <w:t>Apr 05</w:t>
            </w:r>
          </w:p>
        </w:tc>
        <w:tc>
          <w:tcPr>
            <w:tcW w:type="dxa" w:w="4320"/>
          </w:tcPr>
          <w:p>
            <w:r>
              <w:t>104</w:t>
            </w:r>
          </w:p>
        </w:tc>
      </w:tr>
      <w:tr>
        <w:tc>
          <w:tcPr>
            <w:tcW w:type="dxa" w:w="4320"/>
          </w:tcPr>
          <w:p>
            <w:r>
              <w:t>Apr 06</w:t>
            </w:r>
          </w:p>
        </w:tc>
        <w:tc>
          <w:tcPr>
            <w:tcW w:type="dxa" w:w="4320"/>
          </w:tcPr>
          <w:p>
            <w:r>
              <w:t>261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1319</w:t>
            </w:r>
          </w:p>
        </w:tc>
      </w:tr>
    </w:tbl>
    <w:p>
      <w:pPr>
        <w:pStyle w:val="Heading2"/>
      </w:pPr>
      <w:r>
        <w:t>KQL — V2 Requests</w:t>
      </w:r>
    </w:p>
    <w:p>
      <w:pPr>
        <w:pStyle w:val="NoSpacing"/>
      </w:pPr>
      <w:r>
        <w:t>UnionOfAllLogs("Vienna", "traces")</w:t>
        <w:br/>
        <w:t>| where timestamp between (_startTime .. _endTime)</w:t>
        <w:br/>
        <w:t>| where app == "hephaestus-agent"</w:t>
        <w:br/>
        <w:t xml:space="preserve">    and env in ('eastus2', 'swedencentral')</w:t>
        <w:br/>
        <w:t xml:space="preserve">    and message contains "Running for AgentId"</w:t>
        <w:br/>
        <w:t xml:space="preserve">    and message contains "Running for AgentId=triage"</w:t>
        <w:br/>
        <w:t>| summarize count = count() by bin(timestamp, 1h)</w:t>
      </w:r>
    </w:p>
    <w:p>
      <w:r>
        <w:t>Dashboard tile: https://dataexplorer.azure.com/dashboards/4584380f-1dcf-43ff-b174-beb56a9a51ea?p-_startTime=30days&amp;p-_endTime=now&amp;p-_env=v-eastus2&amp;p-_env=v-swedencentral&amp;tile=d24ef970-b3cd-4383-9e17-6ec5099ab134</w:t>
      </w:r>
    </w:p>
    <w:p>
      <w:pPr>
        <w:pStyle w:val="Heading1"/>
      </w:pPr>
      <w:r>
        <w:t>6. Pending: User Retention (New vs Returning)</w:t>
      </w:r>
    </w:p>
    <w:p>
      <w:r>
        <w:t>Run the following query to get daily new vs returning users. 'New' = first appearance within the 30-day window.</w:t>
      </w:r>
    </w:p>
    <w:p>
      <w:pPr>
        <w:pStyle w:val="NoSpacing"/>
      </w:pPr>
      <w:r>
        <w:t>let allActivity =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project user_Id, day = bin(timestamp, 1d);</w:t>
        <w:br/>
        <w:t>let firstSeen =</w:t>
        <w:br/>
        <w:t xml:space="preserve">    allActivity | summarize firstDay = min(day) by user_Id;</w:t>
        <w:br/>
        <w:t>allActivity</w:t>
        <w:br/>
        <w:t>| distinct user_Id, day</w:t>
        <w:br/>
        <w:t>| join kind=inner firstSeen on user_Id</w:t>
        <w:br/>
        <w:t>| extend userType = iff(day == firstDay, "New", "Returning")</w:t>
        <w:br/>
        <w:t>| summarize</w:t>
        <w:br/>
        <w:t xml:space="preserve">    NewUsers = dcountif(user_Id, userType == "New"),</w:t>
        <w:br/>
        <w:t xml:space="preserve">    ReturningUsers = dcountif(user_Id, userType == "Returning")</w:t>
        <w:br/>
        <w:t xml:space="preserve">    by day</w:t>
        <w:br/>
        <w:t>| extend</w:t>
        <w:br/>
        <w:t xml:space="preserve">    TotalUsers = NewUsers + ReturningUsers,</w:t>
        <w:br/>
        <w:t xml:space="preserve">    NewPct = round(todouble(NewUsers)</w:t>
        <w:br/>
        <w:t xml:space="preserve">        / todouble(NewUsers + ReturningUsers) * 100, 1),</w:t>
        <w:br/>
        <w:t xml:space="preserve">    ReturnPct = round(todouble(ReturningUsers)</w:t>
        <w:br/>
        <w:t xml:space="preserve">        / todouble(NewUsers + ReturningUsers) * 100, 1)</w:t>
        <w:br/>
        <w:t>| order by day asc</w:t>
      </w:r>
    </w:p>
    <w:p>
      <w:pPr>
        <w:pStyle w:val="Heading1"/>
      </w:pPr>
      <w:r>
        <w:t>7. Pending: % of NG Users in AskAI</w:t>
      </w:r>
    </w:p>
    <w:p>
      <w:r>
        <w:t>Run this query to calculate NG users as a % of total AskAI users. Adjust askAIUsers filter if AskAI uses a different app/operation.</w:t>
      </w:r>
    </w:p>
    <w:p>
      <w:pPr>
        <w:pStyle w:val="NoSpacing"/>
      </w:pPr>
      <w:r>
        <w:t>let ngUsers = toscalar(</w:t>
        <w:br/>
        <w:t xml:space="preserve">    UnionOfAllLogs("Vienna", "requests")</w:t>
        <w:br/>
        <w:t xml:space="preserve">    | where operation_Name in</w:t>
        <w:br/>
        <w:t xml:space="preserve">        ("POST Hephaestus/ColdStart", "POST Hephaestus/ChatStream")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let askAIUsers = toscalar(</w:t>
        <w:br/>
        <w:t xml:space="preserve">    UnionOfAllLogs("Vienna", "requests")</w:t>
        <w:br/>
        <w:t xml:space="preserve">    | where PreciseTimeStamp &gt;= _startTime</w:t>
        <w:br/>
        <w:t xml:space="preserve">        and PreciseTimeStamp &lt;= _endTime and env in (_env)</w:t>
        <w:br/>
        <w:t xml:space="preserve">    | where app == "hephaestus-agent"</w:t>
        <w:br/>
        <w:t xml:space="preserve">    | summarize dcount(user_Id)</w:t>
        <w:br/>
        <w:t>);</w:t>
        <w:br/>
        <w:t>print NGUsers = ngUsers, AskAIUsers = askAIUsers,</w:t>
        <w:br/>
        <w:t xml:space="preserve">      PctOfAskAI = round(</w:t>
        <w:br/>
        <w:t xml:space="preserve">          todouble(ngUsers) / todouble(askAIUsers) * 100, 2)</w:t>
      </w:r>
    </w:p>
    <w:p>
      <w:pPr>
        <w:pStyle w:val="Heading1"/>
      </w:pPr>
      <w:r>
        <w:t>8. Dashboard References</w:t>
      </w:r>
    </w:p>
    <w:p>
      <w:r>
        <w:t>Main Dashboard:</w:t>
        <w:br/>
        <w:t>https://dataexplorer.azure.com/dashboards/4584380f-1dcf-43ff-b174-beb56a9a51ea?p-_startTime=30days&amp;p-_endTime=now&amp;p-_env=v-eastus2&amp;p-_env=v-swedencentral</w:t>
      </w:r>
    </w:p>
    <w:p>
      <w:r>
        <w:t>• NG Requests:</w:t>
        <w:br/>
        <w:t xml:space="preserve">  https://dataexplorer.azure.com/dashboards/4584380f-1dcf-43ff-b174-beb56a9a51ea?p-_startTime=30days&amp;p-_endTime=now&amp;p-_env=v-eastus2&amp;p-_env=v-swedencentral&amp;tile=400a95ab-6ff8-4bd4-bbae-18898d1a54a0</w:t>
      </w:r>
    </w:p>
    <w:p>
      <w:r>
        <w:t>• V2 Requests (Triage):</w:t>
        <w:br/>
        <w:t xml:space="preserve">  https://dataexplorer.azure.com/dashboards/4584380f-1dcf-43ff-b174-beb56a9a51ea?p-_startTime=30days&amp;p-_endTime=now&amp;p-_env=v-eastus2&amp;p-_env=v-swedencentral&amp;tile=d24ef970-b3cd-4383-9e17-6ec5099ab134</w:t>
      </w:r>
    </w:p>
    <w:p>
      <w:r>
        <w:t>• P95 Latency:</w:t>
        <w:br/>
        <w:t xml:space="preserve">  https://dataexplorer.azure.com/dashboards/4584380f-1dcf-43ff-b174-beb56a9a51ea?p-_startTime=30days&amp;p-_endTime=now&amp;p-_env=v-eastus2&amp;p-_env=v-swedencentral&amp;tile=5bf7b1d4-63e0-4af6-8f26-7d0f4297412a</w:t>
      </w:r>
    </w:p>
    <w:p>
      <w:r>
        <w:t>• P99 TTFB:</w:t>
        <w:br/>
        <w:t xml:space="preserve">  https://dataexplorer.azure.com/dashboards/4584380f-1dcf-43ff-b174-beb56a9a51ea?p-_startTime=30days&amp;p-_endTime=now&amp;p-_env=v-eastus2&amp;p-_env=v-swedencentral&amp;tile=c1c9cc13-1713-43b4-b0ed-36d94d192c0c</w:t>
      </w:r>
    </w:p>
    <w:p>
      <w:r>
        <w:t>• Success Rate (Overall):</w:t>
        <w:br/>
        <w:t xml:space="preserve">  https://dataexplorer.azure.com/dashboards/4584380f-1dcf-43ff-b174-beb56a9a51ea?p-_startTime=30days&amp;p-_endTime=now&amp;p-_env=v-eastus2&amp;p-_env=v-swedencentral&amp;tile=20253c74-5866-4fa1-bf3c-d62c65ab710e</w:t>
      </w:r>
    </w:p>
    <w:p>
      <w:r>
        <w:t>• Success Rate (Daily):</w:t>
        <w:br/>
        <w:t xml:space="preserve">  https://dataexplorer.azure.com/dashboards/4584380f-1dcf-43ff-b174-beb56a9a51ea?p-_startTime=30days&amp;p-_endTime=now&amp;p-_env=v-eastus2&amp;p-_env=v-swedencentral&amp;tile=2e6b6b6c-dafc-41ed-9113-70f243c8dece</w:t>
      </w:r>
    </w:p>
    <w:p>
      <w:pPr>
        <w:pStyle w:val="Heading1"/>
      </w:pPr>
      <w:r>
        <w:t>9. Charts</w:t>
      </w:r>
    </w:p>
    <w:p>
      <w:pPr>
        <w:pStyle w:val="Heading2"/>
      </w:pPr>
      <w:r>
        <w:t>Daily Request Volume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ques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Traffic by Region</w:t>
      </w:r>
    </w:p>
    <w:p>
      <w:r>
        <w:drawing>
          <wp:inline xmlns:a="http://schemas.openxmlformats.org/drawingml/2006/main" xmlns:pic="http://schemas.openxmlformats.org/drawingml/2006/picture">
            <wp:extent cx="5943600" cy="56443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reg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4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NG vs V2 Comparison</w:t>
      </w:r>
    </w:p>
    <w:p>
      <w:r>
        <w:drawing>
          <wp:inline xmlns:a="http://schemas.openxmlformats.org/drawingml/2006/main" xmlns:pic="http://schemas.openxmlformats.org/drawingml/2006/picture">
            <wp:extent cx="5943600" cy="41078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2_vs_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7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Unique Users</w:t>
      </w:r>
    </w:p>
    <w:p>
      <w:r>
        <w:drawing>
          <wp:inline xmlns:a="http://schemas.openxmlformats.org/drawingml/2006/main" xmlns:pic="http://schemas.openxmlformats.org/drawingml/2006/picture">
            <wp:extent cx="5943600" cy="20403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us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3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Daily Success Rate</w:t>
      </w:r>
    </w:p>
    <w:p>
      <w:r>
        <w:drawing>
          <wp:inline xmlns:a="http://schemas.openxmlformats.org/drawingml/2006/main" xmlns:pic="http://schemas.openxmlformats.org/drawingml/2006/picture">
            <wp:extent cx="5943600" cy="154084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uc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084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