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Hephaestus NG — 30-Day Detailed Report</w:t>
      </w:r>
    </w:p>
    <w:p>
      <w:r>
        <w:t>Period: March 10 – April 9, 2026  |  Regions: East US 2, Sweden Central</w:t>
        <w:br/>
        <w:t>Team: AskAI Service Team  |  Manager: Nupur Kinger</w:t>
        <w:br/>
        <w:t>Members: Amit Chauhan, Mohammed Sheraj, Kshitij Chawla, Ayushh Garg</w:t>
      </w:r>
    </w:p>
    <w:p>
      <w:pPr>
        <w:pStyle w:val="Heading1"/>
      </w:pPr>
      <w:r>
        <w:t>1. Executive Summary</w:t>
      </w:r>
    </w:p>
    <w:p>
      <w:r>
        <w:t>Over the last 30 days, Hephaestus NG processed 91,371 total requests across East US 2 (83%) and Sweden Central (17%), serving 15,453 unique users. The service averaged 96.5% success rate across both regions, with P95 latency at 5–6s. V2 (triage) traffic was just 1,319 requests (1.4%), confirming migration to NG is effectively complete.</w:t>
      </w:r>
    </w:p>
    <w:p>
      <w:pPr>
        <w:pStyle w:val="Heading1"/>
      </w:pPr>
      <w:r>
        <w:t>2. Request Volume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NG Requests (30d)</w:t>
            </w:r>
          </w:p>
        </w:tc>
        <w:tc>
          <w:tcPr>
            <w:tcW w:type="dxa" w:w="4320"/>
          </w:tcPr>
          <w:p>
            <w:r>
              <w:t>91,371</w:t>
            </w:r>
          </w:p>
        </w:tc>
      </w:tr>
      <w:tr>
        <w:tc>
          <w:tcPr>
            <w:tcW w:type="dxa" w:w="4320"/>
          </w:tcPr>
          <w:p>
            <w:r>
              <w:t>Avg Weekday Requests</w:t>
            </w:r>
          </w:p>
        </w:tc>
        <w:tc>
          <w:tcPr>
            <w:tcW w:type="dxa" w:w="4320"/>
          </w:tcPr>
          <w:p>
            <w:r>
              <w:t>~3,600/day</w:t>
            </w:r>
          </w:p>
        </w:tc>
      </w:tr>
      <w:tr>
        <w:tc>
          <w:tcPr>
            <w:tcW w:type="dxa" w:w="4320"/>
          </w:tcPr>
          <w:p>
            <w:r>
              <w:t>Avg Weekend Requests</w:t>
            </w:r>
          </w:p>
        </w:tc>
        <w:tc>
          <w:tcPr>
            <w:tcW w:type="dxa" w:w="4320"/>
          </w:tcPr>
          <w:p>
            <w:r>
              <w:t>~1,400/day</w:t>
            </w:r>
          </w:p>
        </w:tc>
      </w:tr>
      <w:tr>
        <w:tc>
          <w:tcPr>
            <w:tcW w:type="dxa" w:w="4320"/>
          </w:tcPr>
          <w:p>
            <w:r>
              <w:t>East US 2 Share</w:t>
            </w:r>
          </w:p>
        </w:tc>
        <w:tc>
          <w:tcPr>
            <w:tcW w:type="dxa" w:w="4320"/>
          </w:tcPr>
          <w:p>
            <w:r>
              <w:t>83%</w:t>
            </w:r>
          </w:p>
        </w:tc>
      </w:tr>
      <w:tr>
        <w:tc>
          <w:tcPr>
            <w:tcW w:type="dxa" w:w="4320"/>
          </w:tcPr>
          <w:p>
            <w:r>
              <w:t>Sweden Central Share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</w:tbl>
    <w:p/>
    <w:p>
      <w:pPr>
        <w:pStyle w:val="Heading2"/>
      </w:pPr>
      <w:r>
        <w:t>Daily Request Volume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Total Requests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3,141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5,174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4,710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4,834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1,457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1,535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4,313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5,357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5,190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4,328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3,187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1,331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1,435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3,969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4,420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4,231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4,402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3,624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1,429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1,496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3,949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4,202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4,051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3,659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2,525</w:t>
            </w:r>
          </w:p>
        </w:tc>
      </w:tr>
    </w:tbl>
    <w:p>
      <w:pPr>
        <w:pStyle w:val="Heading2"/>
      </w:pPr>
      <w:r>
        <w:t>KQL — NG Request Volume</w:t>
      </w:r>
    </w:p>
    <w:p>
      <w:pPr>
        <w:pStyle w:val="NoSpacing"/>
      </w:pPr>
      <w:r>
        <w:t>let timeGrain = _period * 1h;</w:t>
        <w:br/>
        <w:t>UnionOfAllLogs("Vienna", "requests")</w:t>
        <w:br/>
        <w:t>| where operation_Name == "POST Hephaestus/ColdStart"</w:t>
        <w:br/>
        <w:t xml:space="preserve">    or operation_Name == "POST Hephaestus/ChatStream"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where operation_Name != "GET Version/Ping"</w:t>
        <w:br/>
        <w:t>| summarize count=count() by bin(timestamp, timeGrain), type, env</w:t>
      </w:r>
    </w:p>
    <w:p>
      <w:r>
        <w:t>Dashboard tile: https://dataexplorer.azure.com/dashboards/4584380f-1dcf-43ff-b174-beb56a9a51ea?p-_startTime=30days&amp;p-_endTime=now&amp;p-_env=v-eastus2&amp;p-_env=v-swedencentral&amp;tile=400a95ab-6ff8-4bd4-bbae-18898d1a54a0</w:t>
      </w:r>
    </w:p>
    <w:p>
      <w:pPr>
        <w:pStyle w:val="Heading1"/>
      </w:pPr>
      <w:r>
        <w:t>3. User Engagement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Unique Users (30d)</w:t>
            </w:r>
          </w:p>
        </w:tc>
        <w:tc>
          <w:tcPr>
            <w:tcW w:type="dxa" w:w="4320"/>
          </w:tcPr>
          <w:p>
            <w:r>
              <w:t>15,453</w:t>
            </w:r>
          </w:p>
        </w:tc>
      </w:tr>
      <w:tr>
        <w:tc>
          <w:tcPr>
            <w:tcW w:type="dxa" w:w="4320"/>
          </w:tcPr>
          <w:p>
            <w:r>
              <w:t>Avg Weekday DAU</w:t>
            </w:r>
          </w:p>
        </w:tc>
        <w:tc>
          <w:tcPr>
            <w:tcW w:type="dxa" w:w="4320"/>
          </w:tcPr>
          <w:p>
            <w:r>
              <w:t>~700</w:t>
            </w:r>
          </w:p>
        </w:tc>
      </w:tr>
      <w:tr>
        <w:tc>
          <w:tcPr>
            <w:tcW w:type="dxa" w:w="4320"/>
          </w:tcPr>
          <w:p>
            <w:r>
              <w:t>Avg Weekend DAU</w:t>
            </w:r>
          </w:p>
        </w:tc>
        <w:tc>
          <w:tcPr>
            <w:tcW w:type="dxa" w:w="4320"/>
          </w:tcPr>
          <w:p>
            <w:r>
              <w:t>~235</w:t>
            </w:r>
          </w:p>
        </w:tc>
      </w:tr>
      <w:tr>
        <w:tc>
          <w:tcPr>
            <w:tcW w:type="dxa" w:w="4320"/>
          </w:tcPr>
          <w:p>
            <w:r>
              <w:t>Peak Day</w:t>
            </w:r>
          </w:p>
        </w:tc>
        <w:tc>
          <w:tcPr>
            <w:tcW w:type="dxa" w:w="4320"/>
          </w:tcPr>
          <w:p>
            <w:r>
              <w:t>799 (Mar 12)</w:t>
            </w:r>
          </w:p>
        </w:tc>
      </w:tr>
    </w:tbl>
    <w:p/>
    <w:p>
      <w:pPr>
        <w:pStyle w:val="Heading2"/>
      </w:pPr>
      <w:r>
        <w:t>Daily Unique Users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Unique Users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760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799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687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724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752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739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673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496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681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716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715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625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663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707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703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612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440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237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493</w:t>
            </w:r>
          </w:p>
        </w:tc>
      </w:tr>
      <w:tr>
        <w:tc>
          <w:tcPr>
            <w:tcW w:type="dxa" w:w="4320"/>
          </w:tcPr>
          <w:p>
            <w:r>
              <w:t>Apr 07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Apr 08</w:t>
            </w:r>
          </w:p>
        </w:tc>
        <w:tc>
          <w:tcPr>
            <w:tcW w:type="dxa" w:w="4320"/>
          </w:tcPr>
          <w:p>
            <w:r>
              <w:t>730</w:t>
            </w:r>
          </w:p>
        </w:tc>
      </w:tr>
      <w:tr>
        <w:tc>
          <w:tcPr>
            <w:tcW w:type="dxa" w:w="4320"/>
          </w:tcPr>
          <w:p>
            <w:r>
              <w:t>Apr 09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</w:tbl>
    <w:p>
      <w:pPr>
        <w:pStyle w:val="Heading2"/>
      </w:pPr>
      <w:r>
        <w:t>KQL — Daily Unique Users</w:t>
      </w:r>
    </w:p>
    <w:p>
      <w:pPr>
        <w:pStyle w:val="NoSpacing"/>
      </w:pPr>
      <w:r>
        <w:t>UnionOfAllLogs("Vienna", "requests")</w:t>
        <w:br/>
        <w:t>| where operation_Name in ("POST Hephaestus/ColdStart",</w:t>
        <w:br/>
        <w:t xml:space="preserve">    "POST Hephaestus/ChatStream")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summarize UniqueUsers = dcount(user_Id) by bin(timestamp, 1d)</w:t>
        <w:br/>
        <w:t>| order by timestamp asc</w:t>
      </w:r>
    </w:p>
    <w:p>
      <w:pPr>
        <w:pStyle w:val="Heading1"/>
      </w:pPr>
      <w:r>
        <w:t>4. SLO Performance</w:t>
      </w:r>
    </w:p>
    <w:p>
      <w:pPr>
        <w:pStyle w:val="Heading2"/>
      </w:pPr>
      <w:r>
        <w:t>4.1 Success Rate</w:t>
      </w:r>
    </w:p>
    <w:p>
      <w:r>
        <w:t>The service averaged 96.5% success rate across both regions over 31 days. East US 2 averaged ~97% and Sweden Central averaged ~97%. Minimum was 83.14% on Apr 13 (driven by East US 2 at 79.7%), and the maximum was 98.8% on Mar 29.</w:t>
      </w:r>
    </w:p>
    <w:p>
      <w:r>
        <w:t>The Apr 13 East US 2 dip to 79.7% is an anomaly under investigation. Sweden Central remained at 100% on that day. Excluding Apr 13, the combined average is closer to 97%.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Avg Success Rate (weighted)</w:t>
            </w:r>
          </w:p>
        </w:tc>
        <w:tc>
          <w:tcPr>
            <w:tcW w:type="dxa" w:w="4320"/>
          </w:tcPr>
          <w:p>
            <w:r>
              <w:t>96.5%</w:t>
            </w:r>
          </w:p>
        </w:tc>
      </w:tr>
      <w:tr>
        <w:tc>
          <w:tcPr>
            <w:tcW w:type="dxa" w:w="4320"/>
          </w:tcPr>
          <w:p>
            <w:r>
              <w:t>Avg East US 2</w:t>
            </w:r>
          </w:p>
        </w:tc>
        <w:tc>
          <w:tcPr>
            <w:tcW w:type="dxa" w:w="4320"/>
          </w:tcPr>
          <w:p>
            <w:r>
              <w:t>~97%</w:t>
            </w:r>
          </w:p>
        </w:tc>
      </w:tr>
      <w:tr>
        <w:tc>
          <w:tcPr>
            <w:tcW w:type="dxa" w:w="4320"/>
          </w:tcPr>
          <w:p>
            <w:r>
              <w:t>Avg Sweden Central</w:t>
            </w:r>
          </w:p>
        </w:tc>
        <w:tc>
          <w:tcPr>
            <w:tcW w:type="dxa" w:w="4320"/>
          </w:tcPr>
          <w:p>
            <w:r>
              <w:t>~97%</w:t>
            </w:r>
          </w:p>
        </w:tc>
      </w:tr>
      <w:tr>
        <w:tc>
          <w:tcPr>
            <w:tcW w:type="dxa" w:w="4320"/>
          </w:tcPr>
          <w:p>
            <w:r>
              <w:t>Minimum (combined)</w:t>
            </w:r>
          </w:p>
        </w:tc>
        <w:tc>
          <w:tcPr>
            <w:tcW w:type="dxa" w:w="4320"/>
          </w:tcPr>
          <w:p>
            <w:r>
              <w:t>83.14% (Apr 13)</w:t>
            </w:r>
          </w:p>
        </w:tc>
      </w:tr>
      <w:tr>
        <w:tc>
          <w:tcPr>
            <w:tcW w:type="dxa" w:w="4320"/>
          </w:tcPr>
          <w:p>
            <w:r>
              <w:t>Maximum (combined)</w:t>
            </w:r>
          </w:p>
        </w:tc>
        <w:tc>
          <w:tcPr>
            <w:tcW w:type="dxa" w:w="4320"/>
          </w:tcPr>
          <w:p>
            <w:r>
              <w:t>98.8% (Mar 29)</w:t>
            </w:r>
          </w:p>
        </w:tc>
      </w:tr>
    </w:tbl>
    <w:p>
      <w:pPr>
        <w:pStyle w:val="Heading3"/>
      </w:pPr>
      <w:r>
        <w:t>Daily Success Rate by Region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East US 2</w:t>
            </w:r>
          </w:p>
        </w:tc>
        <w:tc>
          <w:tcPr>
            <w:tcW w:type="dxa" w:w="2160"/>
          </w:tcPr>
          <w:p>
            <w:r>
              <w:t>Sweden Central</w:t>
            </w:r>
          </w:p>
        </w:tc>
        <w:tc>
          <w:tcPr>
            <w:tcW w:type="dxa" w:w="2160"/>
          </w:tcPr>
          <w:p>
            <w:r>
              <w:t>Combined</w:t>
            </w:r>
          </w:p>
        </w:tc>
      </w:tr>
      <w:tr>
        <w:tc>
          <w:tcPr>
            <w:tcW w:type="dxa" w:w="2160"/>
          </w:tcPr>
          <w:p>
            <w:r>
              <w:t>Mar 14</w:t>
            </w:r>
          </w:p>
        </w:tc>
        <w:tc>
          <w:tcPr>
            <w:tcW w:type="dxa" w:w="2160"/>
          </w:tcPr>
          <w:p>
            <w:r>
              <w:t>96.22%</w:t>
            </w:r>
          </w:p>
        </w:tc>
        <w:tc>
          <w:tcPr>
            <w:tcW w:type="dxa" w:w="2160"/>
          </w:tcPr>
          <w:p>
            <w:r>
              <w:t>93.617%</w:t>
            </w:r>
          </w:p>
        </w:tc>
        <w:tc>
          <w:tcPr>
            <w:tcW w:type="dxa" w:w="2160"/>
          </w:tcPr>
          <w:p>
            <w:r>
              <w:t>95.78%</w:t>
            </w:r>
          </w:p>
        </w:tc>
      </w:tr>
      <w:tr>
        <w:tc>
          <w:tcPr>
            <w:tcW w:type="dxa" w:w="2160"/>
          </w:tcPr>
          <w:p>
            <w:r>
              <w:t>Mar 15</w:t>
            </w:r>
          </w:p>
        </w:tc>
        <w:tc>
          <w:tcPr>
            <w:tcW w:type="dxa" w:w="2160"/>
          </w:tcPr>
          <w:p>
            <w:r>
              <w:t>96.523%</w:t>
            </w:r>
          </w:p>
        </w:tc>
        <w:tc>
          <w:tcPr>
            <w:tcW w:type="dxa" w:w="2160"/>
          </w:tcPr>
          <w:p>
            <w:r>
              <w:t>98.0%</w:t>
            </w:r>
          </w:p>
        </w:tc>
        <w:tc>
          <w:tcPr>
            <w:tcW w:type="dxa" w:w="2160"/>
          </w:tcPr>
          <w:p>
            <w:r>
              <w:t>96.77%</w:t>
            </w:r>
          </w:p>
        </w:tc>
      </w:tr>
      <w:tr>
        <w:tc>
          <w:tcPr>
            <w:tcW w:type="dxa" w:w="2160"/>
          </w:tcPr>
          <w:p>
            <w:r>
              <w:t>Mar 16</w:t>
            </w:r>
          </w:p>
        </w:tc>
        <w:tc>
          <w:tcPr>
            <w:tcW w:type="dxa" w:w="2160"/>
          </w:tcPr>
          <w:p>
            <w:r>
              <w:t>95.89%</w:t>
            </w:r>
          </w:p>
        </w:tc>
        <w:tc>
          <w:tcPr>
            <w:tcW w:type="dxa" w:w="2160"/>
          </w:tcPr>
          <w:p>
            <w:r>
              <w:t>96.639%</w:t>
            </w:r>
          </w:p>
        </w:tc>
        <w:tc>
          <w:tcPr>
            <w:tcW w:type="dxa" w:w="2160"/>
          </w:tcPr>
          <w:p>
            <w:r>
              <w:t>96.02%</w:t>
            </w:r>
          </w:p>
        </w:tc>
      </w:tr>
      <w:tr>
        <w:tc>
          <w:tcPr>
            <w:tcW w:type="dxa" w:w="2160"/>
          </w:tcPr>
          <w:p>
            <w:r>
              <w:t>Mar 17</w:t>
            </w:r>
          </w:p>
        </w:tc>
        <w:tc>
          <w:tcPr>
            <w:tcW w:type="dxa" w:w="2160"/>
          </w:tcPr>
          <w:p>
            <w:r>
              <w:t>95.313%</w:t>
            </w:r>
          </w:p>
        </w:tc>
        <w:tc>
          <w:tcPr>
            <w:tcW w:type="dxa" w:w="2160"/>
          </w:tcPr>
          <w:p>
            <w:r>
              <w:t>94.636%</w:t>
            </w:r>
          </w:p>
        </w:tc>
        <w:tc>
          <w:tcPr>
            <w:tcW w:type="dxa" w:w="2160"/>
          </w:tcPr>
          <w:p>
            <w:r>
              <w:t>95.2%</w:t>
            </w:r>
          </w:p>
        </w:tc>
      </w:tr>
      <w:tr>
        <w:tc>
          <w:tcPr>
            <w:tcW w:type="dxa" w:w="2160"/>
          </w:tcPr>
          <w:p>
            <w:r>
              <w:t>Mar 18</w:t>
            </w:r>
          </w:p>
        </w:tc>
        <w:tc>
          <w:tcPr>
            <w:tcW w:type="dxa" w:w="2160"/>
          </w:tcPr>
          <w:p>
            <w:r>
              <w:t>94.489%</w:t>
            </w:r>
          </w:p>
        </w:tc>
        <w:tc>
          <w:tcPr>
            <w:tcW w:type="dxa" w:w="2160"/>
          </w:tcPr>
          <w:p>
            <w:r>
              <w:t>96.721%</w:t>
            </w:r>
          </w:p>
        </w:tc>
        <w:tc>
          <w:tcPr>
            <w:tcW w:type="dxa" w:w="2160"/>
          </w:tcPr>
          <w:p>
            <w:r>
              <w:t>94.87%</w:t>
            </w:r>
          </w:p>
        </w:tc>
      </w:tr>
      <w:tr>
        <w:tc>
          <w:tcPr>
            <w:tcW w:type="dxa" w:w="2160"/>
          </w:tcPr>
          <w:p>
            <w:r>
              <w:t>Mar 19</w:t>
            </w:r>
          </w:p>
        </w:tc>
        <w:tc>
          <w:tcPr>
            <w:tcW w:type="dxa" w:w="2160"/>
          </w:tcPr>
          <w:p>
            <w:r>
              <w:t>95.559%</w:t>
            </w:r>
          </w:p>
        </w:tc>
        <w:tc>
          <w:tcPr>
            <w:tcW w:type="dxa" w:w="2160"/>
          </w:tcPr>
          <w:p>
            <w:r>
              <w:t>96.237%</w:t>
            </w:r>
          </w:p>
        </w:tc>
        <w:tc>
          <w:tcPr>
            <w:tcW w:type="dxa" w:w="2160"/>
          </w:tcPr>
          <w:p>
            <w:r>
              <w:t>95.67%</w:t>
            </w:r>
          </w:p>
        </w:tc>
      </w:tr>
      <w:tr>
        <w:tc>
          <w:tcPr>
            <w:tcW w:type="dxa" w:w="2160"/>
          </w:tcPr>
          <w:p>
            <w:r>
              <w:t>Mar 20</w:t>
            </w:r>
          </w:p>
        </w:tc>
        <w:tc>
          <w:tcPr>
            <w:tcW w:type="dxa" w:w="2160"/>
          </w:tcPr>
          <w:p>
            <w:r>
              <w:t>93.766%</w:t>
            </w:r>
          </w:p>
        </w:tc>
        <w:tc>
          <w:tcPr>
            <w:tcW w:type="dxa" w:w="2160"/>
          </w:tcPr>
          <w:p>
            <w:r>
              <w:t>95.333%</w:t>
            </w:r>
          </w:p>
        </w:tc>
        <w:tc>
          <w:tcPr>
            <w:tcW w:type="dxa" w:w="2160"/>
          </w:tcPr>
          <w:p>
            <w:r>
              <w:t>94.03%</w:t>
            </w:r>
          </w:p>
        </w:tc>
      </w:tr>
      <w:tr>
        <w:tc>
          <w:tcPr>
            <w:tcW w:type="dxa" w:w="2160"/>
          </w:tcPr>
          <w:p>
            <w:r>
              <w:t>Mar 21</w:t>
            </w:r>
          </w:p>
        </w:tc>
        <w:tc>
          <w:tcPr>
            <w:tcW w:type="dxa" w:w="2160"/>
          </w:tcPr>
          <w:p>
            <w:r>
              <w:t>96.903%</w:t>
            </w:r>
          </w:p>
        </w:tc>
        <w:tc>
          <w:tcPr>
            <w:tcW w:type="dxa" w:w="2160"/>
          </w:tcPr>
          <w:p>
            <w:r>
              <w:t>98.462%</w:t>
            </w:r>
          </w:p>
        </w:tc>
        <w:tc>
          <w:tcPr>
            <w:tcW w:type="dxa" w:w="2160"/>
          </w:tcPr>
          <w:p>
            <w:r>
              <w:t>97.17%</w:t>
            </w:r>
          </w:p>
        </w:tc>
      </w:tr>
      <w:tr>
        <w:tc>
          <w:tcPr>
            <w:tcW w:type="dxa" w:w="2160"/>
          </w:tcPr>
          <w:p>
            <w:r>
              <w:t>Mar 22</w:t>
            </w:r>
          </w:p>
        </w:tc>
        <w:tc>
          <w:tcPr>
            <w:tcW w:type="dxa" w:w="2160"/>
          </w:tcPr>
          <w:p>
            <w:r>
              <w:t>96.266%</w:t>
            </w:r>
          </w:p>
        </w:tc>
        <w:tc>
          <w:tcPr>
            <w:tcW w:type="dxa" w:w="2160"/>
          </w:tcPr>
          <w:p>
            <w:r>
              <w:t>97.619%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</w:tr>
      <w:tr>
        <w:tc>
          <w:tcPr>
            <w:tcW w:type="dxa" w:w="2160"/>
          </w:tcPr>
          <w:p>
            <w:r>
              <w:t>Mar 23</w:t>
            </w:r>
          </w:p>
        </w:tc>
        <w:tc>
          <w:tcPr>
            <w:tcW w:type="dxa" w:w="2160"/>
          </w:tcPr>
          <w:p>
            <w:r>
              <w:t>94.232%</w:t>
            </w:r>
          </w:p>
        </w:tc>
        <w:tc>
          <w:tcPr>
            <w:tcW w:type="dxa" w:w="2160"/>
          </w:tcPr>
          <w:p>
            <w:r>
              <w:t>97.906%</w:t>
            </w:r>
          </w:p>
        </w:tc>
        <w:tc>
          <w:tcPr>
            <w:tcW w:type="dxa" w:w="2160"/>
          </w:tcPr>
          <w:p>
            <w:r>
              <w:t>94.86%</w:t>
            </w:r>
          </w:p>
        </w:tc>
      </w:tr>
      <w:tr>
        <w:tc>
          <w:tcPr>
            <w:tcW w:type="dxa" w:w="2160"/>
          </w:tcPr>
          <w:p>
            <w:r>
              <w:t>Mar 24</w:t>
            </w:r>
          </w:p>
        </w:tc>
        <w:tc>
          <w:tcPr>
            <w:tcW w:type="dxa" w:w="2160"/>
          </w:tcPr>
          <w:p>
            <w:r>
              <w:t>95.771%</w:t>
            </w:r>
          </w:p>
        </w:tc>
        <w:tc>
          <w:tcPr>
            <w:tcW w:type="dxa" w:w="2160"/>
          </w:tcPr>
          <w:p>
            <w:r>
              <w:t>95.082%</w:t>
            </w:r>
          </w:p>
        </w:tc>
        <w:tc>
          <w:tcPr>
            <w:tcW w:type="dxa" w:w="2160"/>
          </w:tcPr>
          <w:p>
            <w:r>
              <w:t>95.65%</w:t>
            </w:r>
          </w:p>
        </w:tc>
      </w:tr>
      <w:tr>
        <w:tc>
          <w:tcPr>
            <w:tcW w:type="dxa" w:w="2160"/>
          </w:tcPr>
          <w:p>
            <w:r>
              <w:t>Mar 25</w:t>
            </w:r>
          </w:p>
        </w:tc>
        <w:tc>
          <w:tcPr>
            <w:tcW w:type="dxa" w:w="2160"/>
          </w:tcPr>
          <w:p>
            <w:r>
              <w:t>96.277%</w:t>
            </w:r>
          </w:p>
        </w:tc>
        <w:tc>
          <w:tcPr>
            <w:tcW w:type="dxa" w:w="2160"/>
          </w:tcPr>
          <w:p>
            <w:r>
              <w:t>97.034%</w:t>
            </w:r>
          </w:p>
        </w:tc>
        <w:tc>
          <w:tcPr>
            <w:tcW w:type="dxa" w:w="2160"/>
          </w:tcPr>
          <w:p>
            <w:r>
              <w:t>96.41%</w:t>
            </w:r>
          </w:p>
        </w:tc>
      </w:tr>
      <w:tr>
        <w:tc>
          <w:tcPr>
            <w:tcW w:type="dxa" w:w="2160"/>
          </w:tcPr>
          <w:p>
            <w:r>
              <w:t>Mar 26</w:t>
            </w:r>
          </w:p>
        </w:tc>
        <w:tc>
          <w:tcPr>
            <w:tcW w:type="dxa" w:w="2160"/>
          </w:tcPr>
          <w:p>
            <w:r>
              <w:t>97.206%</w:t>
            </w:r>
          </w:p>
        </w:tc>
        <w:tc>
          <w:tcPr>
            <w:tcW w:type="dxa" w:w="2160"/>
          </w:tcPr>
          <w:p>
            <w:r>
              <w:t>98.69%</w:t>
            </w:r>
          </w:p>
        </w:tc>
        <w:tc>
          <w:tcPr>
            <w:tcW w:type="dxa" w:w="2160"/>
          </w:tcPr>
          <w:p>
            <w:r>
              <w:t>97.46%</w:t>
            </w:r>
          </w:p>
        </w:tc>
      </w:tr>
      <w:tr>
        <w:tc>
          <w:tcPr>
            <w:tcW w:type="dxa" w:w="2160"/>
          </w:tcPr>
          <w:p>
            <w:r>
              <w:t>Mar 27</w:t>
            </w:r>
          </w:p>
        </w:tc>
        <w:tc>
          <w:tcPr>
            <w:tcW w:type="dxa" w:w="2160"/>
          </w:tcPr>
          <w:p>
            <w:r>
              <w:t>97.351%</w:t>
            </w:r>
          </w:p>
        </w:tc>
        <w:tc>
          <w:tcPr>
            <w:tcW w:type="dxa" w:w="2160"/>
          </w:tcPr>
          <w:p>
            <w:r>
              <w:t>96.135%</w:t>
            </w:r>
          </w:p>
        </w:tc>
        <w:tc>
          <w:tcPr>
            <w:tcW w:type="dxa" w:w="2160"/>
          </w:tcPr>
          <w:p>
            <w:r>
              <w:t>97.14%</w:t>
            </w:r>
          </w:p>
        </w:tc>
      </w:tr>
      <w:tr>
        <w:tc>
          <w:tcPr>
            <w:tcW w:type="dxa" w:w="2160"/>
          </w:tcPr>
          <w:p>
            <w:r>
              <w:t>Mar 28</w:t>
            </w:r>
          </w:p>
        </w:tc>
        <w:tc>
          <w:tcPr>
            <w:tcW w:type="dxa" w:w="2160"/>
          </w:tcPr>
          <w:p>
            <w:r>
              <w:t>98.03%</w:t>
            </w:r>
          </w:p>
        </w:tc>
        <w:tc>
          <w:tcPr>
            <w:tcW w:type="dxa" w:w="2160"/>
          </w:tcPr>
          <w:p>
            <w:r>
              <w:t>98.701%</w:t>
            </w:r>
          </w:p>
        </w:tc>
        <w:tc>
          <w:tcPr>
            <w:tcW w:type="dxa" w:w="2160"/>
          </w:tcPr>
          <w:p>
            <w:r>
              <w:t>98.14%</w:t>
            </w:r>
          </w:p>
        </w:tc>
      </w:tr>
      <w:tr>
        <w:tc>
          <w:tcPr>
            <w:tcW w:type="dxa" w:w="2160"/>
          </w:tcPr>
          <w:p>
            <w:r>
              <w:t>Mar 29</w:t>
            </w:r>
          </w:p>
        </w:tc>
        <w:tc>
          <w:tcPr>
            <w:tcW w:type="dxa" w:w="2160"/>
          </w:tcPr>
          <w:p>
            <w:r>
              <w:t>99.121%</w:t>
            </w:r>
          </w:p>
        </w:tc>
        <w:tc>
          <w:tcPr>
            <w:tcW w:type="dxa" w:w="2160"/>
          </w:tcPr>
          <w:p>
            <w:r>
              <w:t>97.222%</w:t>
            </w:r>
          </w:p>
        </w:tc>
        <w:tc>
          <w:tcPr>
            <w:tcW w:type="dxa" w:w="2160"/>
          </w:tcPr>
          <w:p>
            <w:r>
              <w:t>98.8%</w:t>
            </w:r>
          </w:p>
        </w:tc>
      </w:tr>
      <w:tr>
        <w:tc>
          <w:tcPr>
            <w:tcW w:type="dxa" w:w="2160"/>
          </w:tcPr>
          <w:p>
            <w:r>
              <w:t>Mar 30</w:t>
            </w:r>
          </w:p>
        </w:tc>
        <w:tc>
          <w:tcPr>
            <w:tcW w:type="dxa" w:w="2160"/>
          </w:tcPr>
          <w:p>
            <w:r>
              <w:t>97.975%</w:t>
            </w:r>
          </w:p>
        </w:tc>
        <w:tc>
          <w:tcPr>
            <w:tcW w:type="dxa" w:w="2160"/>
          </w:tcPr>
          <w:p>
            <w:r>
              <w:t>96.957%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Mar 31</w:t>
            </w:r>
          </w:p>
        </w:tc>
        <w:tc>
          <w:tcPr>
            <w:tcW w:type="dxa" w:w="2160"/>
          </w:tcPr>
          <w:p>
            <w:r>
              <w:t>96.363%</w:t>
            </w:r>
          </w:p>
        </w:tc>
        <w:tc>
          <w:tcPr>
            <w:tcW w:type="dxa" w:w="2160"/>
          </w:tcPr>
          <w:p>
            <w:r>
              <w:t>99.119%</w:t>
            </w:r>
          </w:p>
        </w:tc>
        <w:tc>
          <w:tcPr>
            <w:tcW w:type="dxa" w:w="2160"/>
          </w:tcPr>
          <w:p>
            <w:r>
              <w:t>96.83%</w:t>
            </w:r>
          </w:p>
        </w:tc>
      </w:tr>
      <w:tr>
        <w:tc>
          <w:tcPr>
            <w:tcW w:type="dxa" w:w="2160"/>
          </w:tcPr>
          <w:p>
            <w:r>
              <w:t>Apr 01</w:t>
            </w:r>
          </w:p>
        </w:tc>
        <w:tc>
          <w:tcPr>
            <w:tcW w:type="dxa" w:w="2160"/>
          </w:tcPr>
          <w:p>
            <w:r>
              <w:t>97.201%</w:t>
            </w:r>
          </w:p>
        </w:tc>
        <w:tc>
          <w:tcPr>
            <w:tcW w:type="dxa" w:w="2160"/>
          </w:tcPr>
          <w:p>
            <w:r>
              <w:t>96.744%</w:t>
            </w:r>
          </w:p>
        </w:tc>
        <w:tc>
          <w:tcPr>
            <w:tcW w:type="dxa" w:w="2160"/>
          </w:tcPr>
          <w:p>
            <w:r>
              <w:t>97.12%</w:t>
            </w:r>
          </w:p>
        </w:tc>
      </w:tr>
      <w:tr>
        <w:tc>
          <w:tcPr>
            <w:tcW w:type="dxa" w:w="2160"/>
          </w:tcPr>
          <w:p>
            <w:r>
              <w:t>Apr 02</w:t>
            </w:r>
          </w:p>
        </w:tc>
        <w:tc>
          <w:tcPr>
            <w:tcW w:type="dxa" w:w="2160"/>
          </w:tcPr>
          <w:p>
            <w:r>
              <w:t>97.442%</w:t>
            </w:r>
          </w:p>
        </w:tc>
        <w:tc>
          <w:tcPr>
            <w:tcW w:type="dxa" w:w="2160"/>
          </w:tcPr>
          <w:p>
            <w:r>
              <w:t>99.502%</w:t>
            </w:r>
          </w:p>
        </w:tc>
        <w:tc>
          <w:tcPr>
            <w:tcW w:type="dxa" w:w="2160"/>
          </w:tcPr>
          <w:p>
            <w:r>
              <w:t>97.79%</w:t>
            </w:r>
          </w:p>
        </w:tc>
      </w:tr>
      <w:tr>
        <w:tc>
          <w:tcPr>
            <w:tcW w:type="dxa" w:w="2160"/>
          </w:tcPr>
          <w:p>
            <w:r>
              <w:t>Apr 03</w:t>
            </w:r>
          </w:p>
        </w:tc>
        <w:tc>
          <w:tcPr>
            <w:tcW w:type="dxa" w:w="2160"/>
          </w:tcPr>
          <w:p>
            <w:r>
              <w:t>97.621%</w:t>
            </w:r>
          </w:p>
        </w:tc>
        <w:tc>
          <w:tcPr>
            <w:tcW w:type="dxa" w:w="2160"/>
          </w:tcPr>
          <w:p>
            <w:r>
              <w:t>98.305%</w:t>
            </w:r>
          </w:p>
        </w:tc>
        <w:tc>
          <w:tcPr>
            <w:tcW w:type="dxa" w:w="2160"/>
          </w:tcPr>
          <w:p>
            <w:r>
              <w:t>97.74%</w:t>
            </w:r>
          </w:p>
        </w:tc>
      </w:tr>
      <w:tr>
        <w:tc>
          <w:tcPr>
            <w:tcW w:type="dxa" w:w="2160"/>
          </w:tcPr>
          <w:p>
            <w:r>
              <w:t>Apr 04</w:t>
            </w:r>
          </w:p>
        </w:tc>
        <w:tc>
          <w:tcPr>
            <w:tcW w:type="dxa" w:w="2160"/>
          </w:tcPr>
          <w:p>
            <w:r>
              <w:t>97.832%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98.2%</w:t>
            </w:r>
          </w:p>
        </w:tc>
      </w:tr>
      <w:tr>
        <w:tc>
          <w:tcPr>
            <w:tcW w:type="dxa" w:w="2160"/>
          </w:tcPr>
          <w:p>
            <w:r>
              <w:t>Apr 05</w:t>
            </w:r>
          </w:p>
        </w:tc>
        <w:tc>
          <w:tcPr>
            <w:tcW w:type="dxa" w:w="2160"/>
          </w:tcPr>
          <w:p>
            <w:r>
              <w:t>98.052%</w:t>
            </w:r>
          </w:p>
        </w:tc>
        <w:tc>
          <w:tcPr>
            <w:tcW w:type="dxa" w:w="2160"/>
          </w:tcPr>
          <w:p>
            <w:r>
              <w:t>93.333%</w:t>
            </w:r>
          </w:p>
        </w:tc>
        <w:tc>
          <w:tcPr>
            <w:tcW w:type="dxa" w:w="2160"/>
          </w:tcPr>
          <w:p>
            <w:r>
              <w:t>97.25%</w:t>
            </w:r>
          </w:p>
        </w:tc>
      </w:tr>
      <w:tr>
        <w:tc>
          <w:tcPr>
            <w:tcW w:type="dxa" w:w="2160"/>
          </w:tcPr>
          <w:p>
            <w:r>
              <w:t>Apr 06</w:t>
            </w:r>
          </w:p>
        </w:tc>
        <w:tc>
          <w:tcPr>
            <w:tcW w:type="dxa" w:w="2160"/>
          </w:tcPr>
          <w:p>
            <w:r>
              <w:t>97.956%</w:t>
            </w:r>
          </w:p>
        </w:tc>
        <w:tc>
          <w:tcPr>
            <w:tcW w:type="dxa" w:w="2160"/>
          </w:tcPr>
          <w:p>
            <w:r>
              <w:t>97.059%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Apr 07</w:t>
            </w:r>
          </w:p>
        </w:tc>
        <w:tc>
          <w:tcPr>
            <w:tcW w:type="dxa" w:w="2160"/>
          </w:tcPr>
          <w:p>
            <w:r>
              <w:t>98.033%</w:t>
            </w:r>
          </w:p>
        </w:tc>
        <w:tc>
          <w:tcPr>
            <w:tcW w:type="dxa" w:w="2160"/>
          </w:tcPr>
          <w:p>
            <w:r>
              <w:t>96.939%</w:t>
            </w:r>
          </w:p>
        </w:tc>
        <w:tc>
          <w:tcPr>
            <w:tcW w:type="dxa" w:w="2160"/>
          </w:tcPr>
          <w:p>
            <w:r>
              <w:t>97.85%</w:t>
            </w:r>
          </w:p>
        </w:tc>
      </w:tr>
      <w:tr>
        <w:tc>
          <w:tcPr>
            <w:tcW w:type="dxa" w:w="2160"/>
          </w:tcPr>
          <w:p>
            <w:r>
              <w:t>Apr 08</w:t>
            </w:r>
          </w:p>
        </w:tc>
        <w:tc>
          <w:tcPr>
            <w:tcW w:type="dxa" w:w="2160"/>
          </w:tcPr>
          <w:p>
            <w:r>
              <w:t>97.476%</w:t>
            </w:r>
          </w:p>
        </w:tc>
        <w:tc>
          <w:tcPr>
            <w:tcW w:type="dxa" w:w="2160"/>
          </w:tcPr>
          <w:p>
            <w:r>
              <w:t>96.653%</w:t>
            </w:r>
          </w:p>
        </w:tc>
        <w:tc>
          <w:tcPr>
            <w:tcW w:type="dxa" w:w="2160"/>
          </w:tcPr>
          <w:p>
            <w:r>
              <w:t>97.34%</w:t>
            </w:r>
          </w:p>
        </w:tc>
      </w:tr>
      <w:tr>
        <w:tc>
          <w:tcPr>
            <w:tcW w:type="dxa" w:w="2160"/>
          </w:tcPr>
          <w:p>
            <w:r>
              <w:t>Apr 09</w:t>
            </w:r>
          </w:p>
        </w:tc>
        <w:tc>
          <w:tcPr>
            <w:tcW w:type="dxa" w:w="2160"/>
          </w:tcPr>
          <w:p>
            <w:r>
              <w:t>97.722%</w:t>
            </w:r>
          </w:p>
        </w:tc>
        <w:tc>
          <w:tcPr>
            <w:tcW w:type="dxa" w:w="2160"/>
          </w:tcPr>
          <w:p>
            <w:r>
              <w:t>97.908%</w:t>
            </w:r>
          </w:p>
        </w:tc>
        <w:tc>
          <w:tcPr>
            <w:tcW w:type="dxa" w:w="2160"/>
          </w:tcPr>
          <w:p>
            <w:r>
              <w:t>97.75%</w:t>
            </w:r>
          </w:p>
        </w:tc>
      </w:tr>
      <w:tr>
        <w:tc>
          <w:tcPr>
            <w:tcW w:type="dxa" w:w="2160"/>
          </w:tcPr>
          <w:p>
            <w:r>
              <w:t>Apr 10</w:t>
            </w:r>
          </w:p>
        </w:tc>
        <w:tc>
          <w:tcPr>
            <w:tcW w:type="dxa" w:w="2160"/>
          </w:tcPr>
          <w:p>
            <w:r>
              <w:t>97.624%</w:t>
            </w:r>
          </w:p>
        </w:tc>
        <w:tc>
          <w:tcPr>
            <w:tcW w:type="dxa" w:w="2160"/>
          </w:tcPr>
          <w:p>
            <w:r>
              <w:t>97.426%</w:t>
            </w:r>
          </w:p>
        </w:tc>
        <w:tc>
          <w:tcPr>
            <w:tcW w:type="dxa" w:w="2160"/>
          </w:tcPr>
          <w:p>
            <w:r>
              <w:t>97.59%</w:t>
            </w:r>
          </w:p>
        </w:tc>
      </w:tr>
      <w:tr>
        <w:tc>
          <w:tcPr>
            <w:tcW w:type="dxa" w:w="2160"/>
          </w:tcPr>
          <w:p>
            <w:r>
              <w:t>Apr 11</w:t>
            </w:r>
          </w:p>
        </w:tc>
        <w:tc>
          <w:tcPr>
            <w:tcW w:type="dxa" w:w="2160"/>
          </w:tcPr>
          <w:p>
            <w:r>
              <w:t>97.524%</w:t>
            </w:r>
          </w:p>
        </w:tc>
        <w:tc>
          <w:tcPr>
            <w:tcW w:type="dxa" w:w="2160"/>
          </w:tcPr>
          <w:p>
            <w:r>
              <w:t>98.571%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Apr 12</w:t>
            </w:r>
          </w:p>
        </w:tc>
        <w:tc>
          <w:tcPr>
            <w:tcW w:type="dxa" w:w="2160"/>
          </w:tcPr>
          <w:p>
            <w:r>
              <w:t>97.365%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97.81%</w:t>
            </w:r>
          </w:p>
        </w:tc>
      </w:tr>
      <w:tr>
        <w:tc>
          <w:tcPr>
            <w:tcW w:type="dxa" w:w="2160"/>
          </w:tcPr>
          <w:p>
            <w:r>
              <w:t>Apr 13</w:t>
            </w:r>
          </w:p>
        </w:tc>
        <w:tc>
          <w:tcPr>
            <w:tcW w:type="dxa" w:w="2160"/>
          </w:tcPr>
          <w:p>
            <w:r>
              <w:t>79.688%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83.14%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https://dataexplorer.azure.com/dashboards/4584380f-1dcf-43ff-b174-beb56a9a51ea?p-_startTime=30days&amp;p-_endTime=now&amp;p-_env=v-eastus2&amp;p-_env=v-swedencentral&amp;tile=20253c74-5866-4fa1-bf3c-d62c65ab710e</w:t>
      </w:r>
    </w:p>
    <w:p>
      <w:pPr>
        <w:pStyle w:val="Heading2"/>
      </w:pPr>
      <w:r>
        <w:t>4.2 P95 Latency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P95</w:t>
            </w:r>
          </w:p>
        </w:tc>
        <w:tc>
          <w:tcPr>
            <w:tcW w:type="dxa" w:w="4320"/>
          </w:tcPr>
          <w:p>
            <w:r>
              <w:t>5,000–6,000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~3,336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~8,423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Healthy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https://dataexplorer.azure.com/dashboards/4584380f-1dcf-43ff-b174-beb56a9a51ea?p-_startTime=30days&amp;p-_endTime=now&amp;p-_env=v-eastus2&amp;p-_env=v-swedencentral&amp;tile=5bf7b1d4-63e0-4af6-8f26-7d0f4297412a</w:t>
      </w:r>
    </w:p>
    <w:p>
      <w:pPr>
        <w:pStyle w:val="Heading2"/>
      </w:pPr>
      <w:r>
        <w:t>4.3 P99 Latency (TTFB)</w:t>
      </w:r>
    </w:p>
    <w:p>
      <w:r>
        <w:t>Typically 6,000–8,000 ms. Periodic spikes to ~100–109s are cold-start timeout/retry events at the 99th percentile, affecting &lt;1% of requests.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P99</w:t>
            </w:r>
          </w:p>
        </w:tc>
        <w:tc>
          <w:tcPr>
            <w:tcW w:type="dxa" w:w="4320"/>
          </w:tcPr>
          <w:p>
            <w:r>
              <w:t>6,000–8,000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~3,970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~109,258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⚠️ Monitor spikes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https://dataexplorer.azure.com/dashboards/4584380f-1dcf-43ff-b174-beb56a9a51ea?p-_startTime=30days&amp;p-_endTime=now&amp;p-_env=v-eastus2&amp;p-_env=v-swedencentral&amp;tile=c1c9cc13-1713-43b4-b0ed-36d94d192c0c</w:t>
      </w:r>
    </w:p>
    <w:p>
      <w:pPr>
        <w:pStyle w:val="Heading1"/>
      </w:pPr>
      <w:r>
        <w:t>5. V2 → NG Migration Status</w:t>
      </w:r>
    </w:p>
    <w:p>
      <w:r>
        <w:t>V2 (triage agent) processed 1,319 requests in 30 days (1.4%), compared to NG's 91,371 (98.6%). Multiple days had zero V2 requests (Mar 24–Apr 1). Migration is effectively complete.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V2 Requests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1319</w:t>
            </w:r>
          </w:p>
        </w:tc>
      </w:tr>
    </w:tbl>
    <w:p>
      <w:pPr>
        <w:pStyle w:val="Heading2"/>
      </w:pPr>
      <w:r>
        <w:t>KQL — V2 Requests</w:t>
      </w:r>
    </w:p>
    <w:p>
      <w:pPr>
        <w:pStyle w:val="NoSpacing"/>
      </w:pPr>
      <w:r>
        <w:t>UnionOfAllLogs("Vienna", "traces")</w:t>
        <w:br/>
        <w:t>| where timestamp between (_startTime .. _endTime)</w:t>
        <w:br/>
        <w:t>| where app == "hephaestus-agent"</w:t>
        <w:br/>
        <w:t xml:space="preserve">    and env in ('eastus2', 'swedencentral')</w:t>
        <w:br/>
        <w:t xml:space="preserve">    and message contains "Running for AgentId"</w:t>
        <w:br/>
        <w:t xml:space="preserve">    and message contains "Running for AgentId=triage"</w:t>
        <w:br/>
        <w:t>| summarize count = count() by bin(timestamp, 1h)</w:t>
      </w:r>
    </w:p>
    <w:p>
      <w:r>
        <w:t>Dashboard tile: https://dataexplorer.azure.com/dashboards/4584380f-1dcf-43ff-b174-beb56a9a51ea?p-_startTime=30days&amp;p-_endTime=now&amp;p-_env=v-eastus2&amp;p-_env=v-swedencentral&amp;tile=d24ef970-b3cd-4383-9e17-6ec5099ab134</w:t>
      </w:r>
    </w:p>
    <w:p>
      <w:pPr>
        <w:pStyle w:val="Heading1"/>
      </w:pPr>
      <w:r>
        <w:t>6. User Retention (New vs Returning)</w:t>
      </w:r>
    </w:p>
    <w:p>
      <w:r>
        <w:t>Over the 30-day period, 15,063 new users and 1,292 returning users were observed. 'New' means first appearance within the analysis window. The returning user percentage grew from 0% (day 1) to ~10% by week 4, demonstrating increasing user stickiness. Average returning % across all days: 7.6%. Weekday average: 8.0%.</w:t>
      </w:r>
    </w:p>
    <w:p>
      <w:pPr>
        <w:pStyle w:val="Heading2"/>
      </w:pPr>
      <w:r>
        <w:t>6.1 Key Retention Insights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New Users</w:t>
            </w:r>
          </w:p>
        </w:tc>
        <w:tc>
          <w:tcPr>
            <w:tcW w:type="dxa" w:w="4320"/>
          </w:tcPr>
          <w:p>
            <w:r>
              <w:t>15,063</w:t>
            </w:r>
          </w:p>
        </w:tc>
      </w:tr>
      <w:tr>
        <w:tc>
          <w:tcPr>
            <w:tcW w:type="dxa" w:w="4320"/>
          </w:tcPr>
          <w:p>
            <w:r>
              <w:t>Total Returning Users</w:t>
            </w:r>
          </w:p>
        </w:tc>
        <w:tc>
          <w:tcPr>
            <w:tcW w:type="dxa" w:w="4320"/>
          </w:tcPr>
          <w:p>
            <w:r>
              <w:t>1,292</w:t>
            </w:r>
          </w:p>
        </w:tc>
      </w:tr>
      <w:tr>
        <w:tc>
          <w:tcPr>
            <w:tcW w:type="dxa" w:w="4320"/>
          </w:tcPr>
          <w:p>
            <w:r>
              <w:t>Avg Returning %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Weekday Avg Returning %</w:t>
            </w:r>
          </w:p>
        </w:tc>
        <w:tc>
          <w:tcPr>
            <w:tcW w:type="dxa" w:w="4320"/>
          </w:tcPr>
          <w:p>
            <w:r>
              <w:t>8.0%</w:t>
            </w:r>
          </w:p>
        </w:tc>
      </w:tr>
      <w:tr>
        <w:tc>
          <w:tcPr>
            <w:tcW w:type="dxa" w:w="4320"/>
          </w:tcPr>
          <w:p>
            <w:r>
              <w:t>Peak Returning %</w:t>
            </w:r>
          </w:p>
        </w:tc>
        <w:tc>
          <w:tcPr>
            <w:tcW w:type="dxa" w:w="4320"/>
          </w:tcPr>
          <w:p>
            <w:r>
              <w:t>15.2% (Apr 13)</w:t>
            </w:r>
          </w:p>
        </w:tc>
      </w:tr>
      <w:tr>
        <w:tc>
          <w:tcPr>
            <w:tcW w:type="dxa" w:w="4320"/>
          </w:tcPr>
          <w:p>
            <w:r>
              <w:t>Trend</w:t>
            </w:r>
          </w:p>
        </w:tc>
        <w:tc>
          <w:tcPr>
            <w:tcW w:type="dxa" w:w="4320"/>
          </w:tcPr>
          <w:p>
            <w:r>
              <w:t>0% → ~10% (steady growth)</w:t>
            </w:r>
          </w:p>
        </w:tc>
      </w:tr>
    </w:tbl>
    <w:p>
      <w:pPr>
        <w:pStyle w:val="Heading2"/>
      </w:pPr>
      <w:r>
        <w:t>6.2 Daily Retention Breakdown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New Users</w:t>
            </w:r>
          </w:p>
        </w:tc>
        <w:tc>
          <w:tcPr>
            <w:tcW w:type="dxa" w:w="1440"/>
          </w:tcPr>
          <w:p>
            <w:r>
              <w:t>Returning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New %</w:t>
            </w:r>
          </w:p>
        </w:tc>
        <w:tc>
          <w:tcPr>
            <w:tcW w:type="dxa" w:w="1440"/>
          </w:tcPr>
          <w:p>
            <w:r>
              <w:t>Return %</w:t>
            </w:r>
          </w:p>
        </w:tc>
      </w:tr>
      <w:tr>
        <w:tc>
          <w:tcPr>
            <w:tcW w:type="dxa" w:w="1440"/>
          </w:tcPr>
          <w:p>
            <w:r>
              <w:t>Mar 12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Mar 13</w:t>
            </w:r>
          </w:p>
        </w:tc>
        <w:tc>
          <w:tcPr>
            <w:tcW w:type="dxa" w:w="1440"/>
          </w:tcPr>
          <w:p>
            <w:r>
              <w:t>618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622</w:t>
            </w:r>
          </w:p>
        </w:tc>
        <w:tc>
          <w:tcPr>
            <w:tcW w:type="dxa" w:w="1440"/>
          </w:tcPr>
          <w:p>
            <w:r>
              <w:t>99.4%</w:t>
            </w:r>
          </w:p>
        </w:tc>
        <w:tc>
          <w:tcPr>
            <w:tcW w:type="dxa" w:w="1440"/>
          </w:tcPr>
          <w:p>
            <w:r>
              <w:t>0.6%</w:t>
            </w:r>
          </w:p>
        </w:tc>
      </w:tr>
      <w:tr>
        <w:tc>
          <w:tcPr>
            <w:tcW w:type="dxa" w:w="1440"/>
          </w:tcPr>
          <w:p>
            <w:r>
              <w:t>Mar 14</w:t>
            </w:r>
          </w:p>
        </w:tc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95.7%</w:t>
            </w:r>
          </w:p>
        </w:tc>
        <w:tc>
          <w:tcPr>
            <w:tcW w:type="dxa" w:w="1440"/>
          </w:tcPr>
          <w:p>
            <w:r>
              <w:t>4.3%</w:t>
            </w:r>
          </w:p>
        </w:tc>
      </w:tr>
      <w:tr>
        <w:tc>
          <w:tcPr>
            <w:tcW w:type="dxa" w:w="1440"/>
          </w:tcPr>
          <w:p>
            <w:r>
              <w:t>Mar 15</w:t>
            </w:r>
          </w:p>
        </w:tc>
        <w:tc>
          <w:tcPr>
            <w:tcW w:type="dxa" w:w="1440"/>
          </w:tcPr>
          <w:p>
            <w:r>
              <w:t>238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440"/>
          </w:tcPr>
          <w:p>
            <w:r>
              <w:t>94.8%</w:t>
            </w:r>
          </w:p>
        </w:tc>
        <w:tc>
          <w:tcPr>
            <w:tcW w:type="dxa" w:w="1440"/>
          </w:tcPr>
          <w:p>
            <w:r>
              <w:t>5.2%</w:t>
            </w:r>
          </w:p>
        </w:tc>
      </w:tr>
      <w:tr>
        <w:tc>
          <w:tcPr>
            <w:tcW w:type="dxa" w:w="1440"/>
          </w:tcPr>
          <w:p>
            <w:r>
              <w:t>Mar 16</w:t>
            </w:r>
          </w:p>
        </w:tc>
        <w:tc>
          <w:tcPr>
            <w:tcW w:type="dxa" w:w="1440"/>
          </w:tcPr>
          <w:p>
            <w:r>
              <w:t>690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724</w:t>
            </w:r>
          </w:p>
        </w:tc>
        <w:tc>
          <w:tcPr>
            <w:tcW w:type="dxa" w:w="1440"/>
          </w:tcPr>
          <w:p>
            <w:r>
              <w:t>95.3%</w:t>
            </w:r>
          </w:p>
        </w:tc>
        <w:tc>
          <w:tcPr>
            <w:tcW w:type="dxa" w:w="1440"/>
          </w:tcPr>
          <w:p>
            <w:r>
              <w:t>4.7%</w:t>
            </w:r>
          </w:p>
        </w:tc>
      </w:tr>
      <w:tr>
        <w:tc>
          <w:tcPr>
            <w:tcW w:type="dxa" w:w="1440"/>
          </w:tcPr>
          <w:p>
            <w:r>
              <w:t>Mar 17</w:t>
            </w:r>
          </w:p>
        </w:tc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752</w:t>
            </w:r>
          </w:p>
        </w:tc>
        <w:tc>
          <w:tcPr>
            <w:tcW w:type="dxa" w:w="1440"/>
          </w:tcPr>
          <w:p>
            <w:r>
              <w:t>94.0%</w:t>
            </w:r>
          </w:p>
        </w:tc>
        <w:tc>
          <w:tcPr>
            <w:tcW w:type="dxa" w:w="1440"/>
          </w:tcPr>
          <w:p>
            <w:r>
              <w:t>6.0%</w:t>
            </w:r>
          </w:p>
        </w:tc>
      </w:tr>
      <w:tr>
        <w:tc>
          <w:tcPr>
            <w:tcW w:type="dxa" w:w="1440"/>
          </w:tcPr>
          <w:p>
            <w:r>
              <w:t>Mar 18</w:t>
            </w:r>
          </w:p>
        </w:tc>
        <w:tc>
          <w:tcPr>
            <w:tcW w:type="dxa" w:w="1440"/>
          </w:tcPr>
          <w:p>
            <w:r>
              <w:t>689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93.2%</w:t>
            </w:r>
          </w:p>
        </w:tc>
        <w:tc>
          <w:tcPr>
            <w:tcW w:type="dxa" w:w="1440"/>
          </w:tcPr>
          <w:p>
            <w:r>
              <w:t>6.8%</w:t>
            </w:r>
          </w:p>
        </w:tc>
      </w:tr>
      <w:tr>
        <w:tc>
          <w:tcPr>
            <w:tcW w:type="dxa" w:w="1440"/>
          </w:tcPr>
          <w:p>
            <w:r>
              <w:t>Mar 19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673</w:t>
            </w:r>
          </w:p>
        </w:tc>
        <w:tc>
          <w:tcPr>
            <w:tcW w:type="dxa" w:w="1440"/>
          </w:tcPr>
          <w:p>
            <w:r>
              <w:t>93.5%</w:t>
            </w:r>
          </w:p>
        </w:tc>
        <w:tc>
          <w:tcPr>
            <w:tcW w:type="dxa" w:w="1440"/>
          </w:tcPr>
          <w:p>
            <w:r>
              <w:t>6.5%</w:t>
            </w:r>
          </w:p>
        </w:tc>
      </w:tr>
      <w:tr>
        <w:tc>
          <w:tcPr>
            <w:tcW w:type="dxa" w:w="1440"/>
          </w:tcPr>
          <w:p>
            <w:r>
              <w:t>Mar 20</w:t>
            </w:r>
          </w:p>
        </w:tc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496</w:t>
            </w:r>
          </w:p>
        </w:tc>
        <w:tc>
          <w:tcPr>
            <w:tcW w:type="dxa" w:w="1440"/>
          </w:tcPr>
          <w:p>
            <w:r>
              <w:t>91.1%</w:t>
            </w:r>
          </w:p>
        </w:tc>
        <w:tc>
          <w:tcPr>
            <w:tcW w:type="dxa" w:w="1440"/>
          </w:tcPr>
          <w:p>
            <w:r>
              <w:t>8.9%</w:t>
            </w:r>
          </w:p>
        </w:tc>
      </w:tr>
      <w:tr>
        <w:tc>
          <w:tcPr>
            <w:tcW w:type="dxa" w:w="1440"/>
          </w:tcPr>
          <w:p>
            <w:r>
              <w:t>Mar 21</w:t>
            </w:r>
          </w:p>
        </w:tc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96.4%</w:t>
            </w:r>
          </w:p>
        </w:tc>
        <w:tc>
          <w:tcPr>
            <w:tcW w:type="dxa" w:w="1440"/>
          </w:tcPr>
          <w:p>
            <w:r>
              <w:t>3.6%</w:t>
            </w:r>
          </w:p>
        </w:tc>
      </w:tr>
      <w:tr>
        <w:tc>
          <w:tcPr>
            <w:tcW w:type="dxa" w:w="1440"/>
          </w:tcPr>
          <w:p>
            <w:r>
              <w:t>Mar 22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91.9%</w:t>
            </w:r>
          </w:p>
        </w:tc>
        <w:tc>
          <w:tcPr>
            <w:tcW w:type="dxa" w:w="1440"/>
          </w:tcPr>
          <w:p>
            <w:r>
              <w:t>8.1%</w:t>
            </w:r>
          </w:p>
        </w:tc>
      </w:tr>
      <w:tr>
        <w:tc>
          <w:tcPr>
            <w:tcW w:type="dxa" w:w="1440"/>
          </w:tcPr>
          <w:p>
            <w:r>
              <w:t>Mar 23</w:t>
            </w:r>
          </w:p>
        </w:tc>
        <w:tc>
          <w:tcPr>
            <w:tcW w:type="dxa" w:w="1440"/>
          </w:tcPr>
          <w:p>
            <w:r>
              <w:t>637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93.5%</w:t>
            </w:r>
          </w:p>
        </w:tc>
        <w:tc>
          <w:tcPr>
            <w:tcW w:type="dxa" w:w="1440"/>
          </w:tcPr>
          <w:p>
            <w:r>
              <w:t>6.5%</w:t>
            </w:r>
          </w:p>
        </w:tc>
      </w:tr>
      <w:tr>
        <w:tc>
          <w:tcPr>
            <w:tcW w:type="dxa" w:w="1440"/>
          </w:tcPr>
          <w:p>
            <w:r>
              <w:t>Mar 24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716</w:t>
            </w:r>
          </w:p>
        </w:tc>
        <w:tc>
          <w:tcPr>
            <w:tcW w:type="dxa" w:w="1440"/>
          </w:tcPr>
          <w:p>
            <w:r>
              <w:t>92.2%</w:t>
            </w:r>
          </w:p>
        </w:tc>
        <w:tc>
          <w:tcPr>
            <w:tcW w:type="dxa" w:w="1440"/>
          </w:tcPr>
          <w:p>
            <w:r>
              <w:t>7.8%</w:t>
            </w:r>
          </w:p>
        </w:tc>
      </w:tr>
      <w:tr>
        <w:tc>
          <w:tcPr>
            <w:tcW w:type="dxa" w:w="1440"/>
          </w:tcPr>
          <w:p>
            <w:r>
              <w:t>Mar 25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697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</w:tr>
      <w:tr>
        <w:tc>
          <w:tcPr>
            <w:tcW w:type="dxa" w:w="1440"/>
          </w:tcPr>
          <w:p>
            <w:r>
              <w:t>Mar 26</w:t>
            </w:r>
          </w:p>
        </w:tc>
        <w:tc>
          <w:tcPr>
            <w:tcW w:type="dxa" w:w="1440"/>
          </w:tcPr>
          <w:p>
            <w:r>
              <w:t>654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715</w:t>
            </w:r>
          </w:p>
        </w:tc>
        <w:tc>
          <w:tcPr>
            <w:tcW w:type="dxa" w:w="1440"/>
          </w:tcPr>
          <w:p>
            <w:r>
              <w:t>91.5%</w:t>
            </w:r>
          </w:p>
        </w:tc>
        <w:tc>
          <w:tcPr>
            <w:tcW w:type="dxa" w:w="1440"/>
          </w:tcPr>
          <w:p>
            <w:r>
              <w:t>8.5%</w:t>
            </w:r>
          </w:p>
        </w:tc>
      </w:tr>
      <w:tr>
        <w:tc>
          <w:tcPr>
            <w:tcW w:type="dxa" w:w="1440"/>
          </w:tcPr>
          <w:p>
            <w:r>
              <w:t>Mar 27</w:t>
            </w:r>
          </w:p>
        </w:tc>
        <w:tc>
          <w:tcPr>
            <w:tcW w:type="dxa" w:w="1440"/>
          </w:tcPr>
          <w:p>
            <w:r>
              <w:t>568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625</w:t>
            </w:r>
          </w:p>
        </w:tc>
        <w:tc>
          <w:tcPr>
            <w:tcW w:type="dxa" w:w="1440"/>
          </w:tcPr>
          <w:p>
            <w:r>
              <w:t>90.9%</w:t>
            </w:r>
          </w:p>
        </w:tc>
        <w:tc>
          <w:tcPr>
            <w:tcW w:type="dxa" w:w="1440"/>
          </w:tcPr>
          <w:p>
            <w:r>
              <w:t>9.1%</w:t>
            </w:r>
          </w:p>
        </w:tc>
      </w:tr>
      <w:tr>
        <w:tc>
          <w:tcPr>
            <w:tcW w:type="dxa" w:w="1440"/>
          </w:tcPr>
          <w:p>
            <w:r>
              <w:t>Mar 28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92.3%</w:t>
            </w:r>
          </w:p>
        </w:tc>
        <w:tc>
          <w:tcPr>
            <w:tcW w:type="dxa" w:w="1440"/>
          </w:tcPr>
          <w:p>
            <w:r>
              <w:t>7.7%</w:t>
            </w:r>
          </w:p>
        </w:tc>
      </w:tr>
      <w:tr>
        <w:tc>
          <w:tcPr>
            <w:tcW w:type="dxa" w:w="1440"/>
          </w:tcPr>
          <w:p>
            <w:r>
              <w:t>Mar 29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241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</w:tr>
      <w:tr>
        <w:tc>
          <w:tcPr>
            <w:tcW w:type="dxa" w:w="1440"/>
          </w:tcPr>
          <w:p>
            <w:r>
              <w:t>Mar 30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663</w:t>
            </w:r>
          </w:p>
        </w:tc>
        <w:tc>
          <w:tcPr>
            <w:tcW w:type="dxa" w:w="1440"/>
          </w:tcPr>
          <w:p>
            <w:r>
              <w:t>91.1%</w:t>
            </w:r>
          </w:p>
        </w:tc>
        <w:tc>
          <w:tcPr>
            <w:tcW w:type="dxa" w:w="1440"/>
          </w:tcPr>
          <w:p>
            <w:r>
              <w:t>8.9%</w:t>
            </w:r>
          </w:p>
        </w:tc>
      </w:tr>
      <w:tr>
        <w:tc>
          <w:tcPr>
            <w:tcW w:type="dxa" w:w="1440"/>
          </w:tcPr>
          <w:p>
            <w:r>
              <w:t>Mar 31</w:t>
            </w:r>
          </w:p>
        </w:tc>
        <w:tc>
          <w:tcPr>
            <w:tcW w:type="dxa" w:w="1440"/>
          </w:tcPr>
          <w:p>
            <w:r>
              <w:t>646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91.4%</w:t>
            </w:r>
          </w:p>
        </w:tc>
        <w:tc>
          <w:tcPr>
            <w:tcW w:type="dxa" w:w="1440"/>
          </w:tcPr>
          <w:p>
            <w:r>
              <w:t>8.6%</w:t>
            </w:r>
          </w:p>
        </w:tc>
      </w:tr>
      <w:tr>
        <w:tc>
          <w:tcPr>
            <w:tcW w:type="dxa" w:w="1440"/>
          </w:tcPr>
          <w:p>
            <w:r>
              <w:t>Apr 01</w:t>
            </w:r>
          </w:p>
        </w:tc>
        <w:tc>
          <w:tcPr>
            <w:tcW w:type="dxa" w:w="1440"/>
          </w:tcPr>
          <w:p>
            <w:r>
              <w:t>631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89.8%</w:t>
            </w:r>
          </w:p>
        </w:tc>
        <w:tc>
          <w:tcPr>
            <w:tcW w:type="dxa" w:w="1440"/>
          </w:tcPr>
          <w:p>
            <w:r>
              <w:t>10.2%</w:t>
            </w:r>
          </w:p>
        </w:tc>
      </w:tr>
      <w:tr>
        <w:tc>
          <w:tcPr>
            <w:tcW w:type="dxa" w:w="1440"/>
          </w:tcPr>
          <w:p>
            <w:r>
              <w:t>Apr 02</w:t>
            </w:r>
          </w:p>
        </w:tc>
        <w:tc>
          <w:tcPr>
            <w:tcW w:type="dxa" w:w="1440"/>
          </w:tcPr>
          <w:p>
            <w:r>
              <w:t>553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612</w:t>
            </w:r>
          </w:p>
        </w:tc>
        <w:tc>
          <w:tcPr>
            <w:tcW w:type="dxa" w:w="1440"/>
          </w:tcPr>
          <w:p>
            <w:r>
              <w:t>90.4%</w:t>
            </w:r>
          </w:p>
        </w:tc>
        <w:tc>
          <w:tcPr>
            <w:tcW w:type="dxa" w:w="1440"/>
          </w:tcPr>
          <w:p>
            <w:r>
              <w:t>9.6%</w:t>
            </w:r>
          </w:p>
        </w:tc>
      </w:tr>
      <w:tr>
        <w:tc>
          <w:tcPr>
            <w:tcW w:type="dxa" w:w="1440"/>
          </w:tcPr>
          <w:p>
            <w:r>
              <w:t>Apr 03</w:t>
            </w:r>
          </w:p>
        </w:tc>
        <w:tc>
          <w:tcPr>
            <w:tcW w:type="dxa" w:w="1440"/>
          </w:tcPr>
          <w:p>
            <w:r>
              <w:t>395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89.8%</w:t>
            </w:r>
          </w:p>
        </w:tc>
        <w:tc>
          <w:tcPr>
            <w:tcW w:type="dxa" w:w="1440"/>
          </w:tcPr>
          <w:p>
            <w:r>
              <w:t>10.2%</w:t>
            </w:r>
          </w:p>
        </w:tc>
      </w:tr>
      <w:tr>
        <w:tc>
          <w:tcPr>
            <w:tcW w:type="dxa" w:w="1440"/>
          </w:tcPr>
          <w:p>
            <w:r>
              <w:t>Apr 04</w:t>
            </w:r>
          </w:p>
        </w:tc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92.3%</w:t>
            </w:r>
          </w:p>
        </w:tc>
        <w:tc>
          <w:tcPr>
            <w:tcW w:type="dxa" w:w="1440"/>
          </w:tcPr>
          <w:p>
            <w:r>
              <w:t>7.7%</w:t>
            </w:r>
          </w:p>
        </w:tc>
      </w:tr>
      <w:tr>
        <w:tc>
          <w:tcPr>
            <w:tcW w:type="dxa" w:w="1440"/>
          </w:tcPr>
          <w:p>
            <w:r>
              <w:t>Apr 05</w:t>
            </w:r>
          </w:p>
        </w:tc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94.9%</w:t>
            </w:r>
          </w:p>
        </w:tc>
        <w:tc>
          <w:tcPr>
            <w:tcW w:type="dxa" w:w="1440"/>
          </w:tcPr>
          <w:p>
            <w:r>
              <w:t>5.1%</w:t>
            </w:r>
          </w:p>
        </w:tc>
      </w:tr>
      <w:tr>
        <w:tc>
          <w:tcPr>
            <w:tcW w:type="dxa" w:w="1440"/>
          </w:tcPr>
          <w:p>
            <w:r>
              <w:t>Apr 06</w:t>
            </w:r>
          </w:p>
        </w:tc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493</w:t>
            </w:r>
          </w:p>
        </w:tc>
        <w:tc>
          <w:tcPr>
            <w:tcW w:type="dxa" w:w="1440"/>
          </w:tcPr>
          <w:p>
            <w:r>
              <w:t>89.2%</w:t>
            </w:r>
          </w:p>
        </w:tc>
        <w:tc>
          <w:tcPr>
            <w:tcW w:type="dxa" w:w="1440"/>
          </w:tcPr>
          <w:p>
            <w:r>
              <w:t>10.8%</w:t>
            </w:r>
          </w:p>
        </w:tc>
      </w:tr>
      <w:tr>
        <w:tc>
          <w:tcPr>
            <w:tcW w:type="dxa" w:w="1440"/>
          </w:tcPr>
          <w:p>
            <w:r>
              <w:t>Apr 07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697</w:t>
            </w:r>
          </w:p>
        </w:tc>
        <w:tc>
          <w:tcPr>
            <w:tcW w:type="dxa" w:w="1440"/>
          </w:tcPr>
          <w:p>
            <w:r>
              <w:t>91.1%</w:t>
            </w:r>
          </w:p>
        </w:tc>
        <w:tc>
          <w:tcPr>
            <w:tcW w:type="dxa" w:w="1440"/>
          </w:tcPr>
          <w:p>
            <w:r>
              <w:t>8.9%</w:t>
            </w:r>
          </w:p>
        </w:tc>
      </w:tr>
      <w:tr>
        <w:tc>
          <w:tcPr>
            <w:tcW w:type="dxa" w:w="1440"/>
          </w:tcPr>
          <w:p>
            <w:r>
              <w:t>Apr 08</w:t>
            </w:r>
          </w:p>
        </w:tc>
        <w:tc>
          <w:tcPr>
            <w:tcW w:type="dxa" w:w="1440"/>
          </w:tcPr>
          <w:p>
            <w:r>
              <w:t>662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730</w:t>
            </w:r>
          </w:p>
        </w:tc>
        <w:tc>
          <w:tcPr>
            <w:tcW w:type="dxa" w:w="1440"/>
          </w:tcPr>
          <w:p>
            <w:r>
              <w:t>90.7%</w:t>
            </w:r>
          </w:p>
        </w:tc>
        <w:tc>
          <w:tcPr>
            <w:tcW w:type="dxa" w:w="1440"/>
          </w:tcPr>
          <w:p>
            <w:r>
              <w:t>9.3%</w:t>
            </w:r>
          </w:p>
        </w:tc>
      </w:tr>
      <w:tr>
        <w:tc>
          <w:tcPr>
            <w:tcW w:type="dxa" w:w="1440"/>
          </w:tcPr>
          <w:p>
            <w:r>
              <w:t>Apr 09</w:t>
            </w:r>
          </w:p>
        </w:tc>
        <w:tc>
          <w:tcPr>
            <w:tcW w:type="dxa" w:w="1440"/>
          </w:tcPr>
          <w:p>
            <w:r>
              <w:t>675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754</w:t>
            </w:r>
          </w:p>
        </w:tc>
        <w:tc>
          <w:tcPr>
            <w:tcW w:type="dxa" w:w="1440"/>
          </w:tcPr>
          <w:p>
            <w:r>
              <w:t>89.5%</w:t>
            </w:r>
          </w:p>
        </w:tc>
        <w:tc>
          <w:tcPr>
            <w:tcW w:type="dxa" w:w="1440"/>
          </w:tcPr>
          <w:p>
            <w:r>
              <w:t>10.5%</w:t>
            </w:r>
          </w:p>
        </w:tc>
      </w:tr>
      <w:tr>
        <w:tc>
          <w:tcPr>
            <w:tcW w:type="dxa" w:w="1440"/>
          </w:tcPr>
          <w:p>
            <w:r>
              <w:t>Apr 10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603</w:t>
            </w:r>
          </w:p>
        </w:tc>
        <w:tc>
          <w:tcPr>
            <w:tcW w:type="dxa" w:w="1440"/>
          </w:tcPr>
          <w:p>
            <w:r>
              <w:t>90.4%</w:t>
            </w:r>
          </w:p>
        </w:tc>
        <w:tc>
          <w:tcPr>
            <w:tcW w:type="dxa" w:w="1440"/>
          </w:tcPr>
          <w:p>
            <w:r>
              <w:t>9.6%</w:t>
            </w:r>
          </w:p>
        </w:tc>
      </w:tr>
      <w:tr>
        <w:tc>
          <w:tcPr>
            <w:tcW w:type="dxa" w:w="1440"/>
          </w:tcPr>
          <w:p>
            <w:r>
              <w:t>Apr 11</w:t>
            </w:r>
          </w:p>
        </w:tc>
        <w:tc>
          <w:tcPr>
            <w:tcW w:type="dxa" w:w="1440"/>
          </w:tcPr>
          <w:p>
            <w:r>
              <w:t>221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239</w:t>
            </w:r>
          </w:p>
        </w:tc>
        <w:tc>
          <w:tcPr>
            <w:tcW w:type="dxa" w:w="1440"/>
          </w:tcPr>
          <w:p>
            <w:r>
              <w:t>92.5%</w:t>
            </w:r>
          </w:p>
        </w:tc>
        <w:tc>
          <w:tcPr>
            <w:tcW w:type="dxa" w:w="1440"/>
          </w:tcPr>
          <w:p>
            <w:r>
              <w:t>7.5%</w:t>
            </w:r>
          </w:p>
        </w:tc>
      </w:tr>
      <w:tr>
        <w:tc>
          <w:tcPr>
            <w:tcW w:type="dxa" w:w="1440"/>
          </w:tcPr>
          <w:p>
            <w:r>
              <w:t>Apr 12</w:t>
            </w:r>
          </w:p>
        </w:tc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94.8%</w:t>
            </w:r>
          </w:p>
        </w:tc>
        <w:tc>
          <w:tcPr>
            <w:tcW w:type="dxa" w:w="1440"/>
          </w:tcPr>
          <w:p>
            <w:r>
              <w:t>5.2%</w:t>
            </w:r>
          </w:p>
        </w:tc>
      </w:tr>
      <w:tr>
        <w:tc>
          <w:tcPr>
            <w:tcW w:type="dxa" w:w="1440"/>
          </w:tcPr>
          <w:p>
            <w:r>
              <w:t>Apr 13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84.8%</w:t>
            </w:r>
          </w:p>
        </w:tc>
        <w:tc>
          <w:tcPr>
            <w:tcW w:type="dxa" w:w="1440"/>
          </w:tcPr>
          <w:p>
            <w:r>
              <w:t>15.2%</w:t>
            </w:r>
          </w:p>
        </w:tc>
      </w:tr>
    </w:tbl>
    <w:p>
      <w:pPr>
        <w:pStyle w:val="Heading2"/>
      </w:pPr>
      <w:r>
        <w:t>KQL — User Retention</w:t>
      </w:r>
    </w:p>
    <w:p>
      <w:pPr>
        <w:pStyle w:val="NoSpacing"/>
      </w:pPr>
      <w:r>
        <w:t>let allActivity =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project user_Id, day = bin(timestamp, 1d);</w:t>
        <w:br/>
        <w:t>let firstSeen =</w:t>
        <w:br/>
        <w:t xml:space="preserve">    allActivity | summarize firstDay = min(day) by user_Id;</w:t>
        <w:br/>
        <w:t>allActivity</w:t>
        <w:br/>
        <w:t>| distinct user_Id, day</w:t>
        <w:br/>
        <w:t>| join kind=inner firstSeen on user_Id</w:t>
        <w:br/>
        <w:t>| extend userType = iff(day == firstDay, "New", "Returning")</w:t>
        <w:br/>
        <w:t>| summarize</w:t>
        <w:br/>
        <w:t xml:space="preserve">    NewUsers = dcountif(user_Id, userType == "New"),</w:t>
        <w:br/>
        <w:t xml:space="preserve">    ReturningUsers = dcountif(user_Id, userType == "Returning")</w:t>
        <w:br/>
        <w:t xml:space="preserve">    by day</w:t>
        <w:br/>
        <w:t>| extend</w:t>
        <w:br/>
        <w:t xml:space="preserve">    TotalUsers = NewUsers + ReturningUsers,</w:t>
        <w:br/>
        <w:t xml:space="preserve">    NewPct = round(todouble(NewUsers)</w:t>
        <w:br/>
        <w:t xml:space="preserve">        / todouble(NewUsers + ReturningUsers) * 100, 1),</w:t>
        <w:br/>
        <w:t xml:space="preserve">    ReturnPct = round(todouble(ReturningUsers)</w:t>
        <w:br/>
        <w:t xml:space="preserve">        / todouble(NewUsers + ReturningUsers) * 100, 1)</w:t>
        <w:br/>
        <w:t>| order by day asc</w:t>
      </w:r>
    </w:p>
    <w:p>
      <w:pPr>
        <w:pStyle w:val="Heading1"/>
      </w:pPr>
      <w:r>
        <w:t>7. Pending: % of NG Users in AskAI</w:t>
      </w:r>
    </w:p>
    <w:p>
      <w:r>
        <w:t>Run this query to calculate NG users as a % of total AskAI users. Adjust askAIUsers filter if AskAI uses a different app/operation.</w:t>
      </w:r>
    </w:p>
    <w:p>
      <w:pPr>
        <w:pStyle w:val="NoSpacing"/>
      </w:pPr>
      <w:r>
        <w:t>let ngUsers = toscalar(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let askAIUsers = toscalar(</w:t>
        <w:br/>
        <w:t xml:space="preserve">    UnionOfAllLogs("Vienna", "requests")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print NGUsers = ngUsers, AskAIUsers = askAIUsers,</w:t>
        <w:br/>
        <w:t xml:space="preserve">      PctOfAskAI = round(</w:t>
        <w:br/>
        <w:t xml:space="preserve">          todouble(ngUsers) / todouble(askAIUsers) * 100, 2)</w:t>
      </w:r>
    </w:p>
    <w:p>
      <w:pPr>
        <w:pStyle w:val="Heading1"/>
      </w:pPr>
      <w:r>
        <w:t>8. Dashboard References</w:t>
      </w:r>
    </w:p>
    <w:p>
      <w:r>
        <w:t>Main Dashboard:</w:t>
        <w:br/>
        <w:t>https://dataexplorer.azure.com/dashboards/4584380f-1dcf-43ff-b174-beb56a9a51ea?p-_startTime=30days&amp;p-_endTime=now&amp;p-_env=v-eastus2&amp;p-_env=v-swedencentral</w:t>
      </w:r>
    </w:p>
    <w:p>
      <w:r>
        <w:t>• NG Requests:</w:t>
        <w:br/>
        <w:t xml:space="preserve">  https://dataexplorer.azure.com/dashboards/4584380f-1dcf-43ff-b174-beb56a9a51ea?p-_startTime=30days&amp;p-_endTime=now&amp;p-_env=v-eastus2&amp;p-_env=v-swedencentral&amp;tile=400a95ab-6ff8-4bd4-bbae-18898d1a54a0</w:t>
      </w:r>
    </w:p>
    <w:p>
      <w:r>
        <w:t>• V2 Requests (Triage):</w:t>
        <w:br/>
        <w:t xml:space="preserve">  https://dataexplorer.azure.com/dashboards/4584380f-1dcf-43ff-b174-beb56a9a51ea?p-_startTime=30days&amp;p-_endTime=now&amp;p-_env=v-eastus2&amp;p-_env=v-swedencentral&amp;tile=d24ef970-b3cd-4383-9e17-6ec5099ab134</w:t>
      </w:r>
    </w:p>
    <w:p>
      <w:r>
        <w:t>• P95 Latency:</w:t>
        <w:br/>
        <w:t xml:space="preserve">  https://dataexplorer.azure.com/dashboards/4584380f-1dcf-43ff-b174-beb56a9a51ea?p-_startTime=30days&amp;p-_endTime=now&amp;p-_env=v-eastus2&amp;p-_env=v-swedencentral&amp;tile=5bf7b1d4-63e0-4af6-8f26-7d0f4297412a</w:t>
      </w:r>
    </w:p>
    <w:p>
      <w:r>
        <w:t>• P99 TTFB:</w:t>
        <w:br/>
        <w:t xml:space="preserve">  https://dataexplorer.azure.com/dashboards/4584380f-1dcf-43ff-b174-beb56a9a51ea?p-_startTime=30days&amp;p-_endTime=now&amp;p-_env=v-eastus2&amp;p-_env=v-swedencentral&amp;tile=c1c9cc13-1713-43b4-b0ed-36d94d192c0c</w:t>
      </w:r>
    </w:p>
    <w:p>
      <w:r>
        <w:t>• Success Rate (Overall):</w:t>
        <w:br/>
        <w:t xml:space="preserve">  https://dataexplorer.azure.com/dashboards/4584380f-1dcf-43ff-b174-beb56a9a51ea?p-_startTime=30days&amp;p-_endTime=now&amp;p-_env=v-eastus2&amp;p-_env=v-swedencentral&amp;tile=20253c74-5866-4fa1-bf3c-d62c65ab710e</w:t>
      </w:r>
    </w:p>
    <w:p>
      <w:r>
        <w:t>• Success Rate (Daily):</w:t>
        <w:br/>
        <w:t xml:space="preserve">  https://dataexplorer.azure.com/dashboards/4584380f-1dcf-43ff-b174-beb56a9a51ea?p-_startTime=30days&amp;p-_endTime=now&amp;p-_env=v-eastus2&amp;p-_env=v-swedencentral&amp;tile=2e6b6b6c-dafc-41ed-9113-70f243c8dece</w:t>
      </w:r>
    </w:p>
    <w:p>
      <w:r>
        <w:t>• Success Rate (Region):</w:t>
        <w:br/>
        <w:t xml:space="preserve">  https://dataexplorer.azure.com/dashboards/4584380f-1dcf-43ff-b174-beb56a9a51ea?p-_startTime=30days&amp;p-_endTime=now&amp;p-_env=v-eastus2&amp;p-_env=v-swedencentral&amp;tile=bd391155-bdda-44f0-9195-b4d47e382277</w:t>
      </w:r>
    </w:p>
    <w:p>
      <w:pPr>
        <w:pStyle w:val="Heading1"/>
      </w:pPr>
      <w:r>
        <w:t>9. Charts</w:t>
      </w:r>
    </w:p>
    <w:p>
      <w:pPr>
        <w:pStyle w:val="Heading2"/>
      </w:pPr>
      <w:r>
        <w:t>Daily Request Volume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Traffic by Region</w:t>
      </w:r>
    </w:p>
    <w:p>
      <w:r>
        <w:drawing>
          <wp:inline xmlns:a="http://schemas.openxmlformats.org/drawingml/2006/main" xmlns:pic="http://schemas.openxmlformats.org/drawingml/2006/picture">
            <wp:extent cx="5943600" cy="564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NG vs V2 Comparison</w:t>
      </w:r>
    </w:p>
    <w:p>
      <w:r>
        <w:drawing>
          <wp:inline xmlns:a="http://schemas.openxmlformats.org/drawingml/2006/main" xmlns:pic="http://schemas.openxmlformats.org/drawingml/2006/picture">
            <wp:extent cx="5943600" cy="4107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2_vs_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Unique Users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New vs Returning Users</w:t>
      </w:r>
    </w:p>
    <w:p>
      <w:r>
        <w:drawing>
          <wp:inline xmlns:a="http://schemas.openxmlformats.org/drawingml/2006/main" xmlns:pic="http://schemas.openxmlformats.org/drawingml/2006/picture">
            <wp:extent cx="5943600" cy="2189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ten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Success Rate</w:t>
      </w:r>
    </w:p>
    <w:p>
      <w:r>
        <w:drawing>
          <wp:inline xmlns:a="http://schemas.openxmlformats.org/drawingml/2006/main" xmlns:pic="http://schemas.openxmlformats.org/drawingml/2006/picture">
            <wp:extent cx="5943600" cy="1940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4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