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1 April 2026</w:t>
      </w:r>
    </w:p>
    <w:p>
      <w:r>
        <w:t>Dear Asha Rao,</w:t>
      </w:r>
    </w:p>
    <w:p>
      <w:r>
        <w:t>Subject: Annual compensation review</w:t>
      </w:r>
    </w:p>
    <w:p>
      <w:r>
        <w:t>Your variable pay for the year has been set at 12 percent of your annual target.</w:t>
      </w:r>
    </w:p>
    <w:p>
      <w:r>
        <w:t>This letter is confidential and is meant only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One-time bonus</w:t>
            </w:r>
          </w:p>
        </w:tc>
        <w:tc>
          <w:tcPr>
            <w:tcW w:type="dxa" w:w="4320"/>
          </w:tcPr>
          <w:p>
            <w:r>
              <w:t>50,000</w:t>
            </w:r>
          </w:p>
        </w:tc>
      </w:tr>
    </w:tbl>
    <w:p>
      <w:r>
        <w:t>All amounts are before tax.</w:t>
      </w:r>
    </w:p>
    <w:p>
      <w:r>
        <w:t>Please sign and return a copy of this letter within seven days.</w:t>
      </w:r>
    </w:p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Appliances, 12 Example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Appliances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