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82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4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Normal Window Yellow Background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4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90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60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83.8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OnMouseOver event on Text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72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4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OnMouseLeave event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9524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018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59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83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onfocus event on Batch Select element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2498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84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onblur event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id="p_hover"&gt;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&lt;h1&gt;Name: KSHITIJ AUCHARMAL&lt;/h1&gt;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&lt;h1&gt;Roll no: 42405&lt;/h1&gt;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&lt;h1&gt;Class: BE 06&lt;/h1&gt;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&lt;label for="batch"&gt;Batch:&lt;/label&gt;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&lt;select id="batch"&gt;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value="p6"&gt;P6&lt;/option&gt;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value="q6"&gt;Q6&lt;/option&gt;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value="r6"&gt;R6&lt;/option&gt;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value="s6"&gt;S6&lt;/option&gt;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&lt;/select&gt;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type="text/javascript" src="event_manager.js"&gt;&lt;/script&gt;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default_color = "#FBB13C";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focus_color = "#4c9f70";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hover_color = "#8EA4D2";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Set to default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header_text = document.getElementById("p_hover");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header_text.addEventListener("mouseover",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hover_color;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header_text.addEventListener("mouseleave",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batch_select = document.getElementById("batch");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batch_select.addEventListener("focus",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focus_color;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batch_select.addEventListener("blur",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center"/>
      <w:rPr>
        <w:highlight w:val="none"/>
      </w:rPr>
    </w:pPr>
    <w:r>
      <w:t xml:space="preserve">Experiment 8</w:t>
    </w:r>
    <w:r>
      <w:rPr>
        <w:highlight w:val="none"/>
      </w:rPr>
    </w:r>
    <w:r>
      <w:rPr>
        <w:highlight w:val="none"/>
      </w:rPr>
    </w:r>
  </w:p>
  <w:p>
    <w:pPr>
      <w:pStyle w:val="878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902"/>
    <w:next w:val="902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902"/>
    <w:next w:val="902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902"/>
    <w:next w:val="902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902"/>
    <w:next w:val="902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902"/>
    <w:next w:val="902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2"/>
    <w:next w:val="902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2"/>
    <w:next w:val="902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2"/>
    <w:next w:val="902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2"/>
    <w:next w:val="902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2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902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2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2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2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3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4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5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6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7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8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9">
    <w:name w:val="toc 9"/>
    <w:basedOn w:val="902"/>
    <w:next w:val="902"/>
    <w:uiPriority w:val="39"/>
    <w:unhideWhenUsed/>
    <w:pPr>
      <w:pBdr/>
      <w:spacing w:after="100"/>
      <w:ind w:left="1760"/>
    </w:p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2025-10-10T16:49:00Z</dcterms:modified>
</cp:coreProperties>
</file>