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6121E" w14:textId="176D3F36" w:rsidR="002506A9" w:rsidRPr="002506A9" w:rsidRDefault="002506A9" w:rsidP="002506A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is a </w:t>
      </w:r>
      <w:r w:rsidRPr="002506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well-settled and consistently affirmed principle of service jurisprudence</w:t>
      </w: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that the </w:t>
      </w:r>
      <w:r w:rsidRPr="002506A9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Statement of Imputation</w:t>
      </w: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="009D3D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</w:t>
      </w:r>
      <w:r w:rsidR="00CE551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ANNEXURE</w:t>
      </w:r>
      <w:r w:rsidR="009D3D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-II) </w:t>
      </w: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is </w:t>
      </w:r>
      <w:r w:rsidRPr="002506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purely ancillary and explanatory</w:t>
      </w: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nature. Its legal function is confined to </w:t>
      </w:r>
      <w:r w:rsidRPr="002506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elucidating the factual background, particulars, and circumstances</w:t>
      </w: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support of the misconduct </w:t>
      </w:r>
      <w:r w:rsidRPr="002506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already and expressly alleged</w:t>
      </w: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the corresponding </w:t>
      </w:r>
      <w:r w:rsidRPr="002506A9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Article of Charge</w:t>
      </w:r>
      <w:r w:rsidR="009D3DD5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(</w:t>
      </w:r>
      <w:r w:rsidR="00CE5515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ANNEXURE</w:t>
      </w:r>
      <w:r w:rsidR="009D3DD5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-I)</w:t>
      </w: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The Statement of Imputation </w:t>
      </w:r>
      <w:r w:rsidRPr="002506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does not possess an independent or substantive character</w:t>
      </w: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nor can it operate as a source of charge in itself.</w:t>
      </w:r>
    </w:p>
    <w:p w14:paraId="4E31E522" w14:textId="30D8831B" w:rsidR="002506A9" w:rsidRPr="002506A9" w:rsidRDefault="002506A9" w:rsidP="002506A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 law, the Statement of Imputation </w:t>
      </w:r>
      <w:r w:rsidRPr="002506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cannot travel beyond the Article of Charge</w:t>
      </w:r>
      <w:r w:rsidR="009D3DD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(Annexure-I)</w:t>
      </w: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 It cannot be utilised as a vehicle to:</w:t>
      </w:r>
    </w:p>
    <w:p w14:paraId="6B303A31" w14:textId="77777777" w:rsidR="002506A9" w:rsidRPr="002506A9" w:rsidRDefault="002506A9" w:rsidP="002506A9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introduce </w:t>
      </w:r>
      <w:r w:rsidRPr="002506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new or additional allegations</w:t>
      </w: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</w:t>
      </w:r>
    </w:p>
    <w:p w14:paraId="343558C5" w14:textId="77777777" w:rsidR="002506A9" w:rsidRPr="002506A9" w:rsidRDefault="002506A9" w:rsidP="002506A9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expand or modify the </w:t>
      </w:r>
      <w:r w:rsidRPr="002506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scope of the charge</w:t>
      </w: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</w:t>
      </w:r>
    </w:p>
    <w:p w14:paraId="7D9B57DA" w14:textId="77777777" w:rsidR="002506A9" w:rsidRPr="002506A9" w:rsidRDefault="002506A9" w:rsidP="002506A9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impute </w:t>
      </w:r>
      <w:r w:rsidRPr="002506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distinct acts, omissions, or elements of misconduct</w:t>
      </w: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or</w:t>
      </w:r>
    </w:p>
    <w:p w14:paraId="4B8641AD" w14:textId="77777777" w:rsidR="002506A9" w:rsidRPr="002506A9" w:rsidRDefault="002506A9" w:rsidP="002506A9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supply </w:t>
      </w:r>
      <w:r w:rsidRPr="002506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missing ingredients</w:t>
      </w: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which do not form part of the charge as formally framed.</w:t>
      </w:r>
    </w:p>
    <w:p w14:paraId="789270DF" w14:textId="77777777" w:rsidR="002506A9" w:rsidRPr="002506A9" w:rsidRDefault="002506A9" w:rsidP="002506A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Judicial pronouncements of the </w:t>
      </w:r>
      <w:r w:rsidRPr="002506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Supreme Court, High Courts, and the Central Administrative Tribunal</w:t>
      </w: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have consistently held that any attempt to </w:t>
      </w:r>
      <w:r w:rsidRPr="002506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enlarge, supplement, or alter the charge through the Statement of Imputation</w:t>
      </w: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impermissible in law. Such an approach causes </w:t>
      </w:r>
      <w:r w:rsidRPr="002506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serious prejudice to the Charged Officer</w:t>
      </w: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undermines the requirement of certainty in disciplinary proceedings, and </w:t>
      </w:r>
      <w:r w:rsidRPr="002506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vitiates the inquiry at its very inception</w:t>
      </w: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250111DA" w14:textId="77777777" w:rsidR="002506A9" w:rsidRPr="002506A9" w:rsidRDefault="002506A9" w:rsidP="002506A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Charged Officer is entitled, as a matter of legal right, to know with </w:t>
      </w:r>
      <w:r w:rsidRPr="002506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precision, certainty, and clarity</w:t>
      </w: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exact charge he is required to meet. This certainty must emanate </w:t>
      </w:r>
      <w:r w:rsidRPr="002506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strictly and exclusively from the Article of Charge itself</w:t>
      </w: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and cannot be derived, inferred, or supplemented from explanatory material appended thereafter.</w:t>
      </w:r>
    </w:p>
    <w:p w14:paraId="35168EF8" w14:textId="1DDF718A" w:rsidR="002506A9" w:rsidRPr="002506A9" w:rsidRDefault="002506A9" w:rsidP="002506A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 the aforesaid legal backdrop, it becomes necessary to undertake a </w:t>
      </w:r>
      <w:r w:rsidRPr="002506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careful, structured, and comparative examination</w:t>
      </w: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of each </w:t>
      </w:r>
      <w:r w:rsidRPr="002506A9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Article of Charge</w:t>
      </w:r>
      <w:r w:rsidR="009D3DD5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(</w:t>
      </w:r>
      <w:r w:rsidR="00CE5515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ANNEXURE</w:t>
      </w:r>
      <w:r w:rsidR="009D3DD5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-I)</w:t>
      </w: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vis-à-vis its corresponding </w:t>
      </w:r>
      <w:r w:rsidRPr="002506A9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Statement of Imputation</w:t>
      </w: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="009D3D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</w:t>
      </w:r>
      <w:r w:rsidR="00CE551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ANNEXURE</w:t>
      </w:r>
      <w:r w:rsidR="009D3D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-II) </w:t>
      </w: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 the present case. Such scrutiny must objectively determine whether the imputations:</w:t>
      </w:r>
    </w:p>
    <w:p w14:paraId="3D779177" w14:textId="77777777" w:rsidR="002506A9" w:rsidRPr="002506A9" w:rsidRDefault="002506A9" w:rsidP="002506A9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remain confined to </w:t>
      </w:r>
      <w:r w:rsidRPr="002506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explaining and particularising</w:t>
      </w: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charge as framed; or</w:t>
      </w:r>
    </w:p>
    <w:p w14:paraId="2F14661C" w14:textId="77777777" w:rsidR="002506A9" w:rsidRPr="002506A9" w:rsidRDefault="002506A9" w:rsidP="002506A9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6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impermissibly travel beyond the charge</w:t>
      </w: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by introducing new facts, allegations, acts, omissions, or dimensions of misconduct not contained in the Article of Charge.</w:t>
      </w:r>
    </w:p>
    <w:p w14:paraId="3C9E1EE2" w14:textId="77777777" w:rsidR="002506A9" w:rsidRPr="002506A9" w:rsidRDefault="002506A9" w:rsidP="002506A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Accordingly, </w:t>
      </w:r>
      <w:r w:rsidRPr="002506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each Article of Charge is required to be examined independently</w:t>
      </w: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and wherever the Statement of Imputation, in substance or effect, imputes a </w:t>
      </w:r>
      <w:r w:rsidRPr="002506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fresh, additional, or expanded charge</w:t>
      </w: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such deviation must be </w:t>
      </w:r>
      <w:r w:rsidRPr="002506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clearly identified, articulated, and recorded in a point-wise manner</w:t>
      </w:r>
      <w:r w:rsidRPr="002506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as the same strikes at the very root of the disciplinary proceedings.</w:t>
      </w:r>
    </w:p>
    <w:p w14:paraId="566A11CF" w14:textId="23AE327F" w:rsidR="00A64D23" w:rsidRPr="002506A9" w:rsidRDefault="00A64D23" w:rsidP="002506A9"/>
    <w:sectPr w:rsidR="00A64D23" w:rsidRPr="00250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312567"/>
    <w:multiLevelType w:val="multilevel"/>
    <w:tmpl w:val="1912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B541B9"/>
    <w:multiLevelType w:val="multilevel"/>
    <w:tmpl w:val="4376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9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7F7"/>
    <w:rsid w:val="00112920"/>
    <w:rsid w:val="002506A9"/>
    <w:rsid w:val="00412AD6"/>
    <w:rsid w:val="004C67F7"/>
    <w:rsid w:val="00637179"/>
    <w:rsid w:val="009D3DD5"/>
    <w:rsid w:val="00A64D23"/>
    <w:rsid w:val="00C0747C"/>
    <w:rsid w:val="00CE5515"/>
    <w:rsid w:val="00D33F7E"/>
    <w:rsid w:val="00F2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53C5D"/>
  <w15:chartTrackingRefBased/>
  <w15:docId w15:val="{F9B950D6-018D-4907-B9A6-B85DC4FFC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1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717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637179"/>
    <w:rPr>
      <w:b/>
      <w:bCs/>
    </w:rPr>
  </w:style>
  <w:style w:type="character" w:styleId="Emphasis">
    <w:name w:val="Emphasis"/>
    <w:basedOn w:val="DefaultParagraphFont"/>
    <w:uiPriority w:val="20"/>
    <w:qFormat/>
    <w:rsid w:val="006371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1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nis\OneDrive\Desktop\Word%20for%20Writ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for Writing</Template>
  <TotalTime>62</TotalTime>
  <Pages>1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Mohan</dc:creator>
  <cp:keywords/>
  <dc:description/>
  <cp:lastModifiedBy>Manish Mohan</cp:lastModifiedBy>
  <cp:revision>6</cp:revision>
  <dcterms:created xsi:type="dcterms:W3CDTF">2026-01-03T10:14:00Z</dcterms:created>
  <dcterms:modified xsi:type="dcterms:W3CDTF">2026-01-24T12:36:00Z</dcterms:modified>
</cp:coreProperties>
</file>