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BE635" w14:textId="77777777" w:rsidR="00FD6D65" w:rsidRPr="00FD6D65" w:rsidRDefault="00FD6D65" w:rsidP="00FD6D6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pict w14:anchorId="35F90AE3">
          <v:rect id="_x0000_i1025" style="width:0;height:1.5pt" o:hralign="center" o:hrstd="t" o:hr="t" fillcolor="#a0a0a0" stroked="f"/>
        </w:pict>
      </w:r>
    </w:p>
    <w:p w14:paraId="2D2B2E16" w14:textId="77777777" w:rsidR="00FD6D65" w:rsidRPr="00FD6D65" w:rsidRDefault="00FD6D65" w:rsidP="00FD6D6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FD6D6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D6D65">
        <w:rPr>
          <w:rFonts w:eastAsia="Times New Roman" w:cs="Times New Roman"/>
          <w:b/>
          <w:bCs/>
          <w:sz w:val="36"/>
          <w:szCs w:val="36"/>
          <w:lang w:eastAsia="en-IN"/>
        </w:rPr>
        <w:t xml:space="preserve"> MASTER RE-USABLE PROMPT</w:t>
      </w:r>
    </w:p>
    <w:p w14:paraId="6C93C99F" w14:textId="77777777" w:rsidR="00FD6D65" w:rsidRPr="00FD6D65" w:rsidRDefault="00FD6D65" w:rsidP="00FD6D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FD6D65">
        <w:rPr>
          <w:rFonts w:eastAsia="Times New Roman" w:cs="Times New Roman"/>
          <w:b/>
          <w:bCs/>
          <w:i/>
          <w:iCs/>
          <w:sz w:val="27"/>
          <w:szCs w:val="27"/>
          <w:lang w:eastAsia="en-IN"/>
        </w:rPr>
        <w:t>(For Article-wise Time Chart &amp; Flowchart Preparation under CCS (CCA) Rules, 1965)</w:t>
      </w:r>
    </w:p>
    <w:p w14:paraId="7CAACB79" w14:textId="77777777" w:rsidR="00FD6D65" w:rsidRPr="00FD6D65" w:rsidRDefault="00FD6D65" w:rsidP="00FD6D65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Context &amp; Legal Premise (Mandatory):</w:t>
      </w:r>
      <w:r w:rsidRPr="00FD6D65">
        <w:rPr>
          <w:rFonts w:eastAsia="Times New Roman" w:cs="Times New Roman"/>
          <w:sz w:val="24"/>
          <w:szCs w:val="24"/>
          <w:lang w:eastAsia="en-IN"/>
        </w:rPr>
        <w:br/>
        <w:t xml:space="preserve">The Articles of Charge contained in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ANNEXURE–I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alone constitute the charges in law under Rule 14 of the CCS (CCA) Rules, 1965.</w:t>
      </w:r>
      <w:r w:rsidRPr="00FD6D65">
        <w:rPr>
          <w:rFonts w:eastAsia="Times New Roman" w:cs="Times New Roman"/>
          <w:sz w:val="24"/>
          <w:szCs w:val="24"/>
          <w:lang w:eastAsia="en-IN"/>
        </w:rPr>
        <w:br/>
        <w:t xml:space="preserve">The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Statement of Imputation under ANNEXURE–II does not create any independent charge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and is to be used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only for explaining, elaborating, or supplying particulars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to the Articles of Charge already framed in ANNEXURE–I.</w:t>
      </w:r>
    </w:p>
    <w:p w14:paraId="3F4CE4C2" w14:textId="77777777" w:rsidR="00FD6D65" w:rsidRPr="00FD6D65" w:rsidRDefault="00FD6D65" w:rsidP="00FD6D6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You must strictly adhere to this legal position while performing the tasks below.</w:t>
      </w:r>
    </w:p>
    <w:p w14:paraId="03F0AD70" w14:textId="77777777" w:rsidR="00FD6D65" w:rsidRPr="00FD6D65" w:rsidRDefault="00FD6D65" w:rsidP="00FD6D6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pict w14:anchorId="2E238387">
          <v:rect id="_x0000_i1026" style="width:0;height:1.5pt" o:hralign="center" o:hrstd="t" o:hr="t" fillcolor="#a0a0a0" stroked="f"/>
        </w:pict>
      </w:r>
    </w:p>
    <w:p w14:paraId="433A55B0" w14:textId="77777777" w:rsidR="00FD6D65" w:rsidRPr="00FD6D65" w:rsidRDefault="00FD6D65" w:rsidP="00FD6D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FD6D65">
        <w:rPr>
          <w:rFonts w:eastAsia="Times New Roman" w:cs="Times New Roman"/>
          <w:b/>
          <w:bCs/>
          <w:sz w:val="27"/>
          <w:szCs w:val="27"/>
          <w:lang w:eastAsia="en-IN"/>
        </w:rPr>
        <w:t>TASK–1: Identification of Charges</w:t>
      </w:r>
    </w:p>
    <w:p w14:paraId="2FF61D07" w14:textId="77777777" w:rsidR="00FD6D65" w:rsidRPr="00FD6D65" w:rsidRDefault="00FD6D65" w:rsidP="00FD6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Identify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each distinct Article of Charge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as framed in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ANNEXURE–I</w:t>
      </w:r>
      <w:r w:rsidRPr="00FD6D65">
        <w:rPr>
          <w:rFonts w:eastAsia="Times New Roman" w:cs="Times New Roman"/>
          <w:sz w:val="24"/>
          <w:szCs w:val="24"/>
          <w:lang w:eastAsia="en-IN"/>
        </w:rPr>
        <w:t>.</w:t>
      </w:r>
    </w:p>
    <w:p w14:paraId="0FC45217" w14:textId="77777777" w:rsidR="00FD6D65" w:rsidRPr="00FD6D65" w:rsidRDefault="00FD6D65" w:rsidP="00FD6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Treat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each Article independently</w:t>
      </w:r>
      <w:r w:rsidRPr="00FD6D65">
        <w:rPr>
          <w:rFonts w:eastAsia="Times New Roman" w:cs="Times New Roman"/>
          <w:sz w:val="24"/>
          <w:szCs w:val="24"/>
          <w:lang w:eastAsia="en-IN"/>
        </w:rPr>
        <w:t>.</w:t>
      </w:r>
    </w:p>
    <w:p w14:paraId="798DE6D6" w14:textId="77777777" w:rsidR="00FD6D65" w:rsidRPr="00FD6D65" w:rsidRDefault="00FD6D65" w:rsidP="00FD6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Do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not mix facts, events, or allegations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across different Articles of Charge.</w:t>
      </w:r>
    </w:p>
    <w:p w14:paraId="53DD9F92" w14:textId="77777777" w:rsidR="00FD6D65" w:rsidRPr="00FD6D65" w:rsidRDefault="00FD6D65" w:rsidP="00FD6D6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pict w14:anchorId="23799C73">
          <v:rect id="_x0000_i1027" style="width:0;height:1.5pt" o:hralign="center" o:hrstd="t" o:hr="t" fillcolor="#a0a0a0" stroked="f"/>
        </w:pict>
      </w:r>
    </w:p>
    <w:p w14:paraId="783F7961" w14:textId="77777777" w:rsidR="00FD6D65" w:rsidRPr="00FD6D65" w:rsidRDefault="00FD6D65" w:rsidP="00FD6D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FD6D65">
        <w:rPr>
          <w:rFonts w:eastAsia="Times New Roman" w:cs="Times New Roman"/>
          <w:b/>
          <w:bCs/>
          <w:sz w:val="27"/>
          <w:szCs w:val="27"/>
          <w:lang w:eastAsia="en-IN"/>
        </w:rPr>
        <w:t>TASK–2: Extraction of Relevant Facts from ANNEXURE–II</w:t>
      </w:r>
    </w:p>
    <w:p w14:paraId="36207A2C" w14:textId="77777777" w:rsidR="00FD6D65" w:rsidRPr="00FD6D65" w:rsidRDefault="00FD6D65" w:rsidP="00FD6D6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For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each individual Article of Charge under ANNEXURE–I</w:t>
      </w:r>
      <w:r w:rsidRPr="00FD6D65">
        <w:rPr>
          <w:rFonts w:eastAsia="Times New Roman" w:cs="Times New Roman"/>
          <w:sz w:val="24"/>
          <w:szCs w:val="24"/>
          <w:lang w:eastAsia="en-IN"/>
        </w:rPr>
        <w:t>, do the following:</w:t>
      </w:r>
    </w:p>
    <w:p w14:paraId="16FBAE3F" w14:textId="77777777" w:rsidR="00FD6D65" w:rsidRPr="00FD6D65" w:rsidRDefault="00FD6D65" w:rsidP="00FD6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From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ANNEXURE–II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, extract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only those facts, dates, actions, omissions, file movements, approvals, communications, and events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which:</w:t>
      </w:r>
    </w:p>
    <w:p w14:paraId="50586C92" w14:textId="77777777" w:rsidR="00FD6D65" w:rsidRPr="00FD6D65" w:rsidRDefault="00FD6D65" w:rsidP="00FD6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Directly relate to that specific Article of Charge; and</w:t>
      </w:r>
    </w:p>
    <w:p w14:paraId="6B49F407" w14:textId="77777777" w:rsidR="00FD6D65" w:rsidRPr="00FD6D65" w:rsidRDefault="00FD6D65" w:rsidP="00FD6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Are relied upon to explain or support that Article.</w:t>
      </w:r>
    </w:p>
    <w:p w14:paraId="0F23AC54" w14:textId="77777777" w:rsidR="00FD6D65" w:rsidRPr="00FD6D65" w:rsidRDefault="00FD6D65" w:rsidP="00FD6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Ignore and exclude:</w:t>
      </w:r>
    </w:p>
    <w:p w14:paraId="6696C8B0" w14:textId="77777777" w:rsidR="00FD6D65" w:rsidRPr="00FD6D65" w:rsidRDefault="00FD6D65" w:rsidP="00FD6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Facts not traceable to that Article of Charge;</w:t>
      </w:r>
    </w:p>
    <w:p w14:paraId="419DEE4A" w14:textId="77777777" w:rsidR="00FD6D65" w:rsidRPr="00FD6D65" w:rsidRDefault="00FD6D65" w:rsidP="00FD6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General background narration not linked to the charge;</w:t>
      </w:r>
    </w:p>
    <w:p w14:paraId="62CB6B5E" w14:textId="77777777" w:rsidR="00FD6D65" w:rsidRPr="00FD6D65" w:rsidRDefault="00FD6D65" w:rsidP="00FD6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Any inference or assumption not expressly stated in ANNEXURE–II.</w:t>
      </w:r>
    </w:p>
    <w:p w14:paraId="30E2D0DD" w14:textId="77777777" w:rsidR="00FD6D65" w:rsidRPr="00FD6D65" w:rsidRDefault="00FD6D65" w:rsidP="00FD6D6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pict w14:anchorId="0B73A96B">
          <v:rect id="_x0000_i1028" style="width:0;height:1.5pt" o:hralign="center" o:hrstd="t" o:hr="t" fillcolor="#a0a0a0" stroked="f"/>
        </w:pict>
      </w:r>
    </w:p>
    <w:p w14:paraId="08736E5A" w14:textId="77777777" w:rsidR="00FD6D65" w:rsidRPr="00FD6D65" w:rsidRDefault="00FD6D65" w:rsidP="00FD6D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FD6D65">
        <w:rPr>
          <w:rFonts w:eastAsia="Times New Roman" w:cs="Times New Roman"/>
          <w:b/>
          <w:bCs/>
          <w:sz w:val="27"/>
          <w:szCs w:val="27"/>
          <w:lang w:eastAsia="en-IN"/>
        </w:rPr>
        <w:t>TASK–3: Preparation of Article-wise Time Chart</w:t>
      </w:r>
    </w:p>
    <w:p w14:paraId="4F5D31C9" w14:textId="77777777" w:rsidR="00FD6D65" w:rsidRPr="00FD6D65" w:rsidRDefault="00FD6D65" w:rsidP="00FD6D6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For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each Article of Charge separately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, prepare a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chronological time chart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in tabular form with the following mandatory columns:</w:t>
      </w:r>
    </w:p>
    <w:p w14:paraId="454BC39C" w14:textId="77777777" w:rsidR="00FD6D65" w:rsidRPr="00FD6D65" w:rsidRDefault="00FD6D65" w:rsidP="00FD6D6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| Sl. No. | Date / Period | Event or Action | Officer / Section Involved | Document / File Reference (if any) | Source (Para of Annexure-II) |</w:t>
      </w:r>
    </w:p>
    <w:p w14:paraId="069C1E7A" w14:textId="77777777" w:rsidR="00FD6D65" w:rsidRPr="00FD6D65" w:rsidRDefault="00FD6D65" w:rsidP="00FD6D6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lastRenderedPageBreak/>
        <w:t>Instructions:</w:t>
      </w:r>
    </w:p>
    <w:p w14:paraId="2E49E9E4" w14:textId="77777777" w:rsidR="00FD6D65" w:rsidRPr="00FD6D65" w:rsidRDefault="00FD6D65" w:rsidP="00FD6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Arrange events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strictly in chronological order</w:t>
      </w:r>
      <w:r w:rsidRPr="00FD6D65">
        <w:rPr>
          <w:rFonts w:eastAsia="Times New Roman" w:cs="Times New Roman"/>
          <w:sz w:val="24"/>
          <w:szCs w:val="24"/>
          <w:lang w:eastAsia="en-IN"/>
        </w:rPr>
        <w:t>.</w:t>
      </w:r>
    </w:p>
    <w:p w14:paraId="649E92D0" w14:textId="77777777" w:rsidR="00FD6D65" w:rsidRPr="00FD6D65" w:rsidRDefault="00FD6D65" w:rsidP="00FD6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Use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neutral, factual language</w:t>
      </w:r>
      <w:r w:rsidRPr="00FD6D65">
        <w:rPr>
          <w:rFonts w:eastAsia="Times New Roman" w:cs="Times New Roman"/>
          <w:sz w:val="24"/>
          <w:szCs w:val="24"/>
          <w:lang w:eastAsia="en-IN"/>
        </w:rPr>
        <w:t>—do not add conclusions or opinions.</w:t>
      </w:r>
    </w:p>
    <w:p w14:paraId="32731E3D" w14:textId="77777777" w:rsidR="00FD6D65" w:rsidRPr="00FD6D65" w:rsidRDefault="00FD6D65" w:rsidP="00FD6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If a date is approximate or inferred in ANNEXURE-II, clearly state so.</w:t>
      </w:r>
    </w:p>
    <w:p w14:paraId="055BDA7D" w14:textId="77777777" w:rsidR="00FD6D65" w:rsidRPr="00FD6D65" w:rsidRDefault="00FD6D65" w:rsidP="00FD6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Each entry must be traceable to a specific paragraph of ANNEXURE-II.</w:t>
      </w:r>
    </w:p>
    <w:p w14:paraId="2FD99619" w14:textId="77777777" w:rsidR="00FD6D65" w:rsidRPr="00FD6D65" w:rsidRDefault="00FD6D65" w:rsidP="00FD6D6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pict w14:anchorId="6F3725D7">
          <v:rect id="_x0000_i1029" style="width:0;height:1.5pt" o:hralign="center" o:hrstd="t" o:hr="t" fillcolor="#a0a0a0" stroked="f"/>
        </w:pict>
      </w:r>
    </w:p>
    <w:p w14:paraId="496008C2" w14:textId="77777777" w:rsidR="00FD6D65" w:rsidRPr="00FD6D65" w:rsidRDefault="00FD6D65" w:rsidP="00FD6D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FD6D65">
        <w:rPr>
          <w:rFonts w:eastAsia="Times New Roman" w:cs="Times New Roman"/>
          <w:b/>
          <w:bCs/>
          <w:sz w:val="27"/>
          <w:szCs w:val="27"/>
          <w:lang w:eastAsia="en-IN"/>
        </w:rPr>
        <w:t>TASK–4: Logical Sequencing for Charge Analysis</w:t>
      </w:r>
    </w:p>
    <w:p w14:paraId="043CE5DA" w14:textId="77777777" w:rsidR="00FD6D65" w:rsidRPr="00FD6D65" w:rsidRDefault="00FD6D65" w:rsidP="00FD6D6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After the time chart for an </w:t>
      </w:r>
      <w:proofErr w:type="gramStart"/>
      <w:r w:rsidRPr="00FD6D65">
        <w:rPr>
          <w:rFonts w:eastAsia="Times New Roman" w:cs="Times New Roman"/>
          <w:sz w:val="24"/>
          <w:szCs w:val="24"/>
          <w:lang w:eastAsia="en-IN"/>
        </w:rPr>
        <w:t>Article</w:t>
      </w:r>
      <w:proofErr w:type="gramEnd"/>
      <w:r w:rsidRPr="00FD6D65">
        <w:rPr>
          <w:rFonts w:eastAsia="Times New Roman" w:cs="Times New Roman"/>
          <w:sz w:val="24"/>
          <w:szCs w:val="24"/>
          <w:lang w:eastAsia="en-IN"/>
        </w:rPr>
        <w:t xml:space="preserve"> is prepared:</w:t>
      </w:r>
    </w:p>
    <w:p w14:paraId="2F4A9AD6" w14:textId="77777777" w:rsidR="00FD6D65" w:rsidRPr="00FD6D65" w:rsidRDefault="00FD6D65" w:rsidP="00FD6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Identify the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alleged decision-making points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,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acts of omission/commission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, and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linkages relied upon by the Disciplinary Authority</w:t>
      </w:r>
      <w:r w:rsidRPr="00FD6D65">
        <w:rPr>
          <w:rFonts w:eastAsia="Times New Roman" w:cs="Times New Roman"/>
          <w:sz w:val="24"/>
          <w:szCs w:val="24"/>
          <w:lang w:eastAsia="en-IN"/>
        </w:rPr>
        <w:t>.</w:t>
      </w:r>
    </w:p>
    <w:p w14:paraId="5C22D7E3" w14:textId="77777777" w:rsidR="00FD6D65" w:rsidRPr="00FD6D65" w:rsidRDefault="00FD6D65" w:rsidP="00FD6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Highlight:</w:t>
      </w:r>
    </w:p>
    <w:p w14:paraId="3FC0F8A1" w14:textId="77777777" w:rsidR="00FD6D65" w:rsidRPr="00FD6D65" w:rsidRDefault="00FD6D65" w:rsidP="00FD6D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Where the Charged Officer is alleged to have acted;</w:t>
      </w:r>
    </w:p>
    <w:p w14:paraId="690F182B" w14:textId="77777777" w:rsidR="00FD6D65" w:rsidRPr="00FD6D65" w:rsidRDefault="00FD6D65" w:rsidP="00FD6D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Where inaction or failure is alleged;</w:t>
      </w:r>
    </w:p>
    <w:p w14:paraId="031F281B" w14:textId="77777777" w:rsidR="00FD6D65" w:rsidRPr="00FD6D65" w:rsidRDefault="00FD6D65" w:rsidP="00FD6D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Any gaps, delays, or assumptions apparent from the timeline.</w:t>
      </w:r>
    </w:p>
    <w:p w14:paraId="5D52384C" w14:textId="77777777" w:rsidR="00FD6D65" w:rsidRPr="00FD6D65" w:rsidRDefault="00FD6D65" w:rsidP="00FD6D6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pict w14:anchorId="31B39D3F">
          <v:rect id="_x0000_i1030" style="width:0;height:1.5pt" o:hralign="center" o:hrstd="t" o:hr="t" fillcolor="#a0a0a0" stroked="f"/>
        </w:pict>
      </w:r>
    </w:p>
    <w:p w14:paraId="3646A70F" w14:textId="77777777" w:rsidR="00FD6D65" w:rsidRPr="00FD6D65" w:rsidRDefault="00FD6D65" w:rsidP="00FD6D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FD6D65">
        <w:rPr>
          <w:rFonts w:eastAsia="Times New Roman" w:cs="Times New Roman"/>
          <w:b/>
          <w:bCs/>
          <w:sz w:val="27"/>
          <w:szCs w:val="27"/>
          <w:lang w:eastAsia="en-IN"/>
        </w:rPr>
        <w:t>TASK–5: Preparation of Pictorial Flowchart (Article-wise)</w:t>
      </w:r>
    </w:p>
    <w:p w14:paraId="4F83C70F" w14:textId="77777777" w:rsidR="00FD6D65" w:rsidRPr="00FD6D65" w:rsidRDefault="00FD6D65" w:rsidP="00FD6D6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For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each Article of Charge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, convert the corresponding time chart into a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separate pictorial flowchart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with the following characteristics:</w:t>
      </w:r>
    </w:p>
    <w:p w14:paraId="0D7877C6" w14:textId="77777777" w:rsidR="00FD6D65" w:rsidRPr="00FD6D65" w:rsidRDefault="00FD6D65" w:rsidP="00FD6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The flowchart must:</w:t>
      </w:r>
    </w:p>
    <w:p w14:paraId="61979AEE" w14:textId="77777777" w:rsidR="00FD6D65" w:rsidRPr="00FD6D65" w:rsidRDefault="00FD6D65" w:rsidP="00FD6D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Start from the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earliest relevant event</w:t>
      </w:r>
      <w:r w:rsidRPr="00FD6D65">
        <w:rPr>
          <w:rFonts w:eastAsia="Times New Roman" w:cs="Times New Roman"/>
          <w:sz w:val="24"/>
          <w:szCs w:val="24"/>
          <w:lang w:eastAsia="en-IN"/>
        </w:rPr>
        <w:t>;</w:t>
      </w:r>
    </w:p>
    <w:p w14:paraId="101F788D" w14:textId="77777777" w:rsidR="00FD6D65" w:rsidRPr="00FD6D65" w:rsidRDefault="00FD6D65" w:rsidP="00FD6D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Progress step-by-step to the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alleged misconduct</w:t>
      </w:r>
      <w:r w:rsidRPr="00FD6D65">
        <w:rPr>
          <w:rFonts w:eastAsia="Times New Roman" w:cs="Times New Roman"/>
          <w:sz w:val="24"/>
          <w:szCs w:val="24"/>
          <w:lang w:eastAsia="en-IN"/>
        </w:rPr>
        <w:t>;</w:t>
      </w:r>
    </w:p>
    <w:p w14:paraId="226075C4" w14:textId="77777777" w:rsidR="00FD6D65" w:rsidRPr="00FD6D65" w:rsidRDefault="00FD6D65" w:rsidP="00FD6D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End at the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specific allegation attributed to the Charged Officer</w:t>
      </w:r>
      <w:r w:rsidRPr="00FD6D65">
        <w:rPr>
          <w:rFonts w:eastAsia="Times New Roman" w:cs="Times New Roman"/>
          <w:sz w:val="24"/>
          <w:szCs w:val="24"/>
          <w:lang w:eastAsia="en-IN"/>
        </w:rPr>
        <w:t>.</w:t>
      </w:r>
    </w:p>
    <w:p w14:paraId="6992B10C" w14:textId="77777777" w:rsidR="00FD6D65" w:rsidRPr="00FD6D65" w:rsidRDefault="00FD6D65" w:rsidP="00FD6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Use clear nodes such as:</w:t>
      </w:r>
    </w:p>
    <w:p w14:paraId="3B9F1930" w14:textId="77777777" w:rsidR="00FD6D65" w:rsidRPr="00FD6D65" w:rsidRDefault="00FD6D65" w:rsidP="00FD6D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i/>
          <w:iCs/>
          <w:sz w:val="24"/>
          <w:szCs w:val="24"/>
          <w:lang w:eastAsia="en-IN"/>
        </w:rPr>
        <w:t>Receipt of file / proposal</w:t>
      </w:r>
    </w:p>
    <w:p w14:paraId="61961BA1" w14:textId="77777777" w:rsidR="00FD6D65" w:rsidRPr="00FD6D65" w:rsidRDefault="00FD6D65" w:rsidP="00FD6D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i/>
          <w:iCs/>
          <w:sz w:val="24"/>
          <w:szCs w:val="24"/>
          <w:lang w:eastAsia="en-IN"/>
        </w:rPr>
        <w:t>Action taken / not taken</w:t>
      </w:r>
    </w:p>
    <w:p w14:paraId="56AEDD7B" w14:textId="77777777" w:rsidR="00FD6D65" w:rsidRPr="00FD6D65" w:rsidRDefault="00FD6D65" w:rsidP="00FD6D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i/>
          <w:iCs/>
          <w:sz w:val="24"/>
          <w:szCs w:val="24"/>
          <w:lang w:eastAsia="en-IN"/>
        </w:rPr>
        <w:t>Role attributed to Charged Officer</w:t>
      </w:r>
    </w:p>
    <w:p w14:paraId="0D73AA67" w14:textId="77777777" w:rsidR="00FD6D65" w:rsidRPr="00FD6D65" w:rsidRDefault="00FD6D65" w:rsidP="00FD6D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i/>
          <w:iCs/>
          <w:sz w:val="24"/>
          <w:szCs w:val="24"/>
          <w:lang w:eastAsia="en-IN"/>
        </w:rPr>
        <w:t>Alleged violation / misconduct</w:t>
      </w:r>
    </w:p>
    <w:p w14:paraId="295CE86B" w14:textId="77777777" w:rsidR="00FD6D65" w:rsidRPr="00FD6D65" w:rsidRDefault="00FD6D65" w:rsidP="00FD6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Ensure:</w:t>
      </w:r>
    </w:p>
    <w:p w14:paraId="6C4D10C8" w14:textId="77777777" w:rsidR="00FD6D65" w:rsidRPr="00FD6D65" w:rsidRDefault="00FD6D65" w:rsidP="00FD6D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One flowchart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per Article of Charge</w:t>
      </w:r>
      <w:r w:rsidRPr="00FD6D65">
        <w:rPr>
          <w:rFonts w:eastAsia="Times New Roman" w:cs="Times New Roman"/>
          <w:sz w:val="24"/>
          <w:szCs w:val="24"/>
          <w:lang w:eastAsia="en-IN"/>
        </w:rPr>
        <w:t>;</w:t>
      </w:r>
    </w:p>
    <w:p w14:paraId="6389C689" w14:textId="77777777" w:rsidR="00FD6D65" w:rsidRPr="00FD6D65" w:rsidRDefault="00FD6D65" w:rsidP="00FD6D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>No overlapping of events between different Articles;</w:t>
      </w:r>
    </w:p>
    <w:p w14:paraId="3792559B" w14:textId="77777777" w:rsidR="00FD6D65" w:rsidRPr="00FD6D65" w:rsidRDefault="00FD6D65" w:rsidP="00FD6D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The flowchart visually reflects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causation as alleged</w:t>
      </w:r>
      <w:r w:rsidRPr="00FD6D65">
        <w:rPr>
          <w:rFonts w:eastAsia="Times New Roman" w:cs="Times New Roman"/>
          <w:sz w:val="24"/>
          <w:szCs w:val="24"/>
          <w:lang w:eastAsia="en-IN"/>
        </w:rPr>
        <w:t>, not presumed guilt.</w:t>
      </w:r>
    </w:p>
    <w:p w14:paraId="03EADB00" w14:textId="77777777" w:rsidR="00FD6D65" w:rsidRPr="00FD6D65" w:rsidRDefault="00FD6D65" w:rsidP="00FD6D6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pict w14:anchorId="52A44257">
          <v:rect id="_x0000_i1031" style="width:0;height:1.5pt" o:hralign="center" o:hrstd="t" o:hr="t" fillcolor="#a0a0a0" stroked="f"/>
        </w:pict>
      </w:r>
    </w:p>
    <w:p w14:paraId="63E0519C" w14:textId="77777777" w:rsidR="00FD6D65" w:rsidRPr="00FD6D65" w:rsidRDefault="00FD6D65" w:rsidP="00FD6D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FD6D65">
        <w:rPr>
          <w:rFonts w:eastAsia="Times New Roman" w:cs="Times New Roman"/>
          <w:b/>
          <w:bCs/>
          <w:sz w:val="27"/>
          <w:szCs w:val="27"/>
          <w:lang w:eastAsia="en-IN"/>
        </w:rPr>
        <w:t>TASK–6: Output Format</w:t>
      </w:r>
    </w:p>
    <w:p w14:paraId="2FA7B9DF" w14:textId="77777777" w:rsidR="00FD6D65" w:rsidRPr="00FD6D65" w:rsidRDefault="00FD6D65" w:rsidP="00FD6D6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For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each Article of Charge</w:t>
      </w:r>
      <w:r w:rsidRPr="00FD6D65">
        <w:rPr>
          <w:rFonts w:eastAsia="Times New Roman" w:cs="Times New Roman"/>
          <w:sz w:val="24"/>
          <w:szCs w:val="24"/>
          <w:lang w:eastAsia="en-IN"/>
        </w:rPr>
        <w:t>, present the output in the following order:</w:t>
      </w:r>
    </w:p>
    <w:p w14:paraId="50925E93" w14:textId="77777777" w:rsidR="00FD6D65" w:rsidRPr="00FD6D65" w:rsidRDefault="00FD6D65" w:rsidP="00FD6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Heading:</w:t>
      </w:r>
      <w:r w:rsidRPr="00FD6D65">
        <w:rPr>
          <w:rFonts w:eastAsia="Times New Roman" w:cs="Times New Roman"/>
          <w:sz w:val="24"/>
          <w:szCs w:val="24"/>
          <w:lang w:eastAsia="en-IN"/>
        </w:rPr>
        <w:br/>
      </w:r>
      <w:r w:rsidRPr="00FD6D65">
        <w:rPr>
          <w:rFonts w:eastAsia="Times New Roman" w:cs="Times New Roman"/>
          <w:i/>
          <w:iCs/>
          <w:sz w:val="24"/>
          <w:szCs w:val="24"/>
          <w:lang w:eastAsia="en-IN"/>
        </w:rPr>
        <w:t>Article of Charge – I / II / III (as applicable)</w:t>
      </w:r>
    </w:p>
    <w:p w14:paraId="1A4320F2" w14:textId="77777777" w:rsidR="00FD6D65" w:rsidRPr="00FD6D65" w:rsidRDefault="00FD6D65" w:rsidP="00FD6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Chronological Time Chart (Table)</w:t>
      </w:r>
    </w:p>
    <w:p w14:paraId="1C539AD7" w14:textId="77777777" w:rsidR="00FD6D65" w:rsidRPr="00FD6D65" w:rsidRDefault="00FD6D65" w:rsidP="00FD6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lastRenderedPageBreak/>
        <w:t>Brief Narrative Explanation (2–3 paragraphs)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explaining how ANNEXURE-II particulars are being used only to elaborate ANNEXURE-I</w:t>
      </w:r>
    </w:p>
    <w:p w14:paraId="4E67E30D" w14:textId="77777777" w:rsidR="00FD6D65" w:rsidRPr="00FD6D65" w:rsidRDefault="00FD6D65" w:rsidP="00FD6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Pictorial Flowchart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(diagram / mermaid / visual schematic as requested)</w:t>
      </w:r>
    </w:p>
    <w:p w14:paraId="027E455D" w14:textId="77777777" w:rsidR="00FD6D65" w:rsidRPr="00FD6D65" w:rsidRDefault="00FD6D65" w:rsidP="00FD6D6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pict w14:anchorId="0291F640">
          <v:rect id="_x0000_i1032" style="width:0;height:1.5pt" o:hralign="center" o:hrstd="t" o:hr="t" fillcolor="#a0a0a0" stroked="f"/>
        </w:pict>
      </w:r>
    </w:p>
    <w:p w14:paraId="4137B9E1" w14:textId="77777777" w:rsidR="00FD6D65" w:rsidRPr="00FD6D65" w:rsidRDefault="00FD6D65" w:rsidP="00FD6D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FD6D65">
        <w:rPr>
          <w:rFonts w:eastAsia="Times New Roman" w:cs="Times New Roman"/>
          <w:b/>
          <w:bCs/>
          <w:sz w:val="27"/>
          <w:szCs w:val="27"/>
          <w:lang w:eastAsia="en-IN"/>
        </w:rPr>
        <w:t>Critical Constraints (Must Be Followed):</w:t>
      </w:r>
    </w:p>
    <w:p w14:paraId="11E2D651" w14:textId="77777777" w:rsidR="00FD6D65" w:rsidRPr="00FD6D65" w:rsidRDefault="00FD6D65" w:rsidP="00FD6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Do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not re-frame or improve the charge</w:t>
      </w:r>
      <w:r w:rsidRPr="00FD6D65">
        <w:rPr>
          <w:rFonts w:eastAsia="Times New Roman" w:cs="Times New Roman"/>
          <w:sz w:val="24"/>
          <w:szCs w:val="24"/>
          <w:lang w:eastAsia="en-IN"/>
        </w:rPr>
        <w:t>.</w:t>
      </w:r>
    </w:p>
    <w:p w14:paraId="4644A948" w14:textId="77777777" w:rsidR="00FD6D65" w:rsidRPr="00FD6D65" w:rsidRDefault="00FD6D65" w:rsidP="00FD6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Do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not supply missing links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on behalf of the department.</w:t>
      </w:r>
    </w:p>
    <w:p w14:paraId="531F106A" w14:textId="77777777" w:rsidR="00FD6D65" w:rsidRPr="00FD6D65" w:rsidRDefault="00FD6D65" w:rsidP="00FD6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Do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not import external facts or case law</w:t>
      </w:r>
      <w:r w:rsidRPr="00FD6D65">
        <w:rPr>
          <w:rFonts w:eastAsia="Times New Roman" w:cs="Times New Roman"/>
          <w:sz w:val="24"/>
          <w:szCs w:val="24"/>
          <w:lang w:eastAsia="en-IN"/>
        </w:rPr>
        <w:t xml:space="preserve"> unless expressly asked.</w:t>
      </w:r>
    </w:p>
    <w:p w14:paraId="69C58381" w14:textId="77777777" w:rsidR="00FD6D65" w:rsidRPr="00FD6D65" w:rsidRDefault="00FD6D65" w:rsidP="00FD6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t xml:space="preserve">Maintain </w:t>
      </w:r>
      <w:r w:rsidRPr="00FD6D65">
        <w:rPr>
          <w:rFonts w:eastAsia="Times New Roman" w:cs="Times New Roman"/>
          <w:b/>
          <w:bCs/>
          <w:sz w:val="24"/>
          <w:szCs w:val="24"/>
          <w:lang w:eastAsia="en-IN"/>
        </w:rPr>
        <w:t>disciplinary-proceeding neutrality</w:t>
      </w:r>
      <w:r w:rsidRPr="00FD6D65">
        <w:rPr>
          <w:rFonts w:eastAsia="Times New Roman" w:cs="Times New Roman"/>
          <w:sz w:val="24"/>
          <w:szCs w:val="24"/>
          <w:lang w:eastAsia="en-IN"/>
        </w:rPr>
        <w:t>, suitable for defence analysis and cross-examination planning.</w:t>
      </w:r>
    </w:p>
    <w:p w14:paraId="5952D343" w14:textId="77777777" w:rsidR="00FD6D65" w:rsidRPr="00FD6D65" w:rsidRDefault="00FD6D65" w:rsidP="00FD6D6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FD6D65">
        <w:rPr>
          <w:rFonts w:eastAsia="Times New Roman" w:cs="Times New Roman"/>
          <w:sz w:val="24"/>
          <w:szCs w:val="24"/>
          <w:lang w:eastAsia="en-IN"/>
        </w:rPr>
        <w:pict w14:anchorId="34A0A548">
          <v:rect id="_x0000_i1033" style="width:0;height:1.5pt" o:hralign="center" o:hrstd="t" o:hr="t" fillcolor="#a0a0a0" stroked="f"/>
        </w:pict>
      </w:r>
    </w:p>
    <w:p w14:paraId="0859DADA" w14:textId="77777777" w:rsidR="00214A24" w:rsidRDefault="00214A24"/>
    <w:sectPr w:rsidR="0021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2A09"/>
    <w:multiLevelType w:val="multilevel"/>
    <w:tmpl w:val="C574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E408B"/>
    <w:multiLevelType w:val="multilevel"/>
    <w:tmpl w:val="CA02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E6835"/>
    <w:multiLevelType w:val="multilevel"/>
    <w:tmpl w:val="2A6E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90785"/>
    <w:multiLevelType w:val="multilevel"/>
    <w:tmpl w:val="67C2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46150"/>
    <w:multiLevelType w:val="multilevel"/>
    <w:tmpl w:val="FB1C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923B9"/>
    <w:multiLevelType w:val="multilevel"/>
    <w:tmpl w:val="406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B4139"/>
    <w:multiLevelType w:val="multilevel"/>
    <w:tmpl w:val="B592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B1233E"/>
    <w:multiLevelType w:val="multilevel"/>
    <w:tmpl w:val="502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65"/>
    <w:rsid w:val="00214A24"/>
    <w:rsid w:val="00FD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0858"/>
  <w15:chartTrackingRefBased/>
  <w15:docId w15:val="{F0902958-C972-45AF-AB53-1AD4C8C9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6D6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6D6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6D65"/>
    <w:rPr>
      <w:rFonts w:eastAsia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6D65"/>
    <w:rPr>
      <w:rFonts w:eastAsia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6D6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6D65"/>
    <w:rPr>
      <w:b/>
      <w:bCs/>
    </w:rPr>
  </w:style>
  <w:style w:type="character" w:styleId="Emphasis">
    <w:name w:val="Emphasis"/>
    <w:basedOn w:val="DefaultParagraphFont"/>
    <w:uiPriority w:val="20"/>
    <w:qFormat/>
    <w:rsid w:val="00FD6D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8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Mohan</dc:creator>
  <cp:keywords/>
  <dc:description/>
  <cp:lastModifiedBy>Manish Mohan</cp:lastModifiedBy>
  <cp:revision>1</cp:revision>
  <dcterms:created xsi:type="dcterms:W3CDTF">2026-01-24T12:17:00Z</dcterms:created>
  <dcterms:modified xsi:type="dcterms:W3CDTF">2026-01-24T12:18:00Z</dcterms:modified>
</cp:coreProperties>
</file>