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1F3A5F"/>
          <w:sz w:val="40"/>
          <w:szCs w:val="40"/>
        </w:rPr>
        <w:t xml:space="preserve">HERO STEELS LIMITED</w:t>
      </w:r>
    </w:p>
    <w:p>
      <w:pPr>
        <w:spacing w:after="40"/>
      </w:pPr>
      <w:r>
        <w:rPr>
          <w:color w:val="5B7A9D"/>
          <w:sz w:val="20"/>
          <w:szCs w:val="20"/>
        </w:rPr>
        <w:t xml:space="preserve">Cold Rolling Steel Plant  ·  Digital Transformation Initiative</w:t>
      </w:r>
    </w:p>
    <w:p>
      <w:pPr>
        <w:pBdr>
          <w:bottom w:val="single" w:color="C55A11" w:sz="12" w:space="6"/>
        </w:pBdr>
        <w:spacing w:after="360"/>
      </w:pPr>
    </w:p>
    <w:p>
      <w:pPr>
        <w:spacing w:after="0"/>
      </w:pPr>
      <w:r>
        <w:rPr>
          <w:b/>
          <w:bCs/>
          <w:color w:val="C55A11"/>
          <w:sz w:val="26"/>
          <w:szCs w:val="26"/>
        </w:rPr>
        <w:t xml:space="preserve">MODULE M1 — DATA CAPTURE LAYER</w:t>
      </w:r>
    </w:p>
    <w:p>
      <w:pPr>
        <w:spacing w:after="0" w:before="240"/>
      </w:pPr>
      <w:r>
        <w:rPr>
          <w:color w:val="5B7A9D"/>
          <w:sz w:val="20"/>
          <w:szCs w:val="20"/>
        </w:rPr>
        <w:t xml:space="preserve">M1-07   ·   Document 8 of 10</w:t>
      </w:r>
    </w:p>
    <w:p>
      <w:pPr>
        <w:spacing w:after="0" w:before="80"/>
      </w:pPr>
      <w:r>
        <w:rPr>
          <w:b/>
          <w:bCs/>
          <w:color w:val="1F3A5F"/>
          <w:sz w:val="48"/>
          <w:szCs w:val="48"/>
        </w:rPr>
        <w:t xml:space="preserve">Validation Framework</w:t>
      </w:r>
    </w:p>
    <w:p>
      <w:pPr>
        <w:spacing w:after="0" w:before="120"/>
      </w:pPr>
      <w:r>
        <w:rPr>
          <w:color w:val="13243B"/>
          <w:sz w:val="22"/>
          <w:szCs w:val="22"/>
        </w:rPr>
        <w:t xml:space="preserve">Range, mandatory, dependency, duplicate-prevention and integrity rules across production, coil, quality, machine and shift data</w:t>
      </w:r>
    </w:p>
    <w:p>
      <w:pPr>
        <w:spacing w:after="0" w:before="600"/>
      </w:pPr>
      <w:r>
        <w:rPr>
          <w:b/>
          <w:bCs/>
          <w:color w:val="1F3A5F"/>
          <w:sz w:val="19"/>
          <w:szCs w:val="19"/>
        </w:rPr>
        <w:t xml:space="preserve">Document set — M1 Technical Blueprint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5B7A9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Doc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5B7A9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M1-00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Blueprint Overview &amp; Index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M1-01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System Architecture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M1-02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Process-Wise Data Capture Design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M1-03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UX Design &amp; Operator Workflow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M1-04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Data Model &amp; Database Design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M1-05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Role-Based Access Control &amp; Security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M1-06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Planning Integration &amp; Export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M1-07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11"/>
                <w:sz w:val="16"/>
                <w:szCs w:val="16"/>
              </w:rPr>
              <w:t xml:space="preserve">Validation Framework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M1-08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Audit Trail &amp; Compliance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M1-09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Reporting &amp; Monitoring</w:t>
            </w:r>
          </w:p>
        </w:tc>
      </w:tr>
    </w:tbl>
    <w:p>
      <w:pPr>
        <w:spacing w:after="0" w:before="500"/>
      </w:pPr>
      <w:r>
        <w:rPr>
          <w:color w:val="5B7A9D"/>
          <w:sz w:val="16"/>
          <w:szCs w:val="16"/>
        </w:rPr>
        <w:t xml:space="preserve">Prepared for Z Company  ·  Role: Manufacturing Digital Transformation Consultant / Industrial Software Architect</w:t>
      </w:r>
    </w:p>
    <w:p>
      <w:pPr>
        <w:spacing w:after="0"/>
      </w:pPr>
      <w:r>
        <w:rPr>
          <w:color w:val="5B7A9D"/>
          <w:sz w:val="16"/>
          <w:szCs w:val="16"/>
        </w:rPr>
        <w:t xml:space="preserve">Version 1.0  ·  30 May 2026  ·  Confidential</w:t>
      </w:r>
    </w:p>
    <w:p>
      <w:r>
        <w:br w:type="page"/>
      </w:r>
    </w:p>
    <w:p>
      <w:pPr>
        <w:spacing w:after="120"/>
      </w:pPr>
      <w:r>
        <w:rPr>
          <w:b/>
          <w:bCs/>
          <w:color w:val="1F3A5F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Validation Strategy</w:t>
      </w:r>
    </w:p>
    <w:p>
      <w:pPr>
        <w:spacing w:after="120"/>
        <w:jc w:val="both"/>
      </w:pPr>
      <w:r>
        <w:rPr>
          <w:sz w:val="19"/>
          <w:szCs w:val="19"/>
        </w:rPr>
        <w:t xml:space="preserve">Validation is what makes the captured data trustworthy enough for every downstream module to rely on. M1 validates in layers: the UI guides entry so most errors never occur; a shared rule library checks values the instant they are entered; the server re-checks authoritatively before save; and the database enforces hard constraints as a final backstop. The same rule library runs in the browser and on the server, so client feedback and server enforcement can never disagree.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4200"/>
      </w:tblGrid>
      <w:tr>
        <w:trPr>
          <w:tblHeader/>
        </w:trP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Runs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Catches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UI guidance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As the operator interacts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Most errors by design — dropdowns, toggles, keypad, pre-fill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Client rules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On field change / blur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Range, mandatory, dependency — instant feedback, works offline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Server rules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On save / submit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Authoritative re-check; cross-record (duplicates, spec, sums)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DB constraints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On write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PK/FK/UNIQUE/CHECK — the last line of defence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Block</w:t>
            </w:r>
          </w:p>
        </w:tc>
        <w:tc>
          <w:tcPr>
            <w:tcW w:type="dxa" w:w="7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Save/submit prevented until fixed (mandatory, hard dependency, duplicate, FK)</w:t>
            </w:r>
          </w:p>
        </w:tc>
      </w:tr>
      <w:tr>
        <w:tc>
          <w:tcPr>
            <w:tcW w:type="dxa" w:w="2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Warn-override</w:t>
            </w:r>
          </w:p>
        </w:tc>
        <w:tc>
          <w:tcPr>
            <w:tcW w:type="dxa" w:w="7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Allowed with a logged reason by Supervisor/Admin (soft range breach)</w:t>
            </w:r>
          </w:p>
        </w:tc>
      </w:tr>
      <w:tr>
        <w:tc>
          <w:tcPr>
            <w:tcW w:type="dxa" w:w="2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Info</w:t>
            </w:r>
          </w:p>
        </w:tc>
        <w:tc>
          <w:tcPr>
            <w:tcW w:type="dxa" w:w="7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Advisory only (e.g. value differs from last shift's average)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Mandatory Fields</w:t>
      </w:r>
    </w:p>
    <w:p>
      <w:pPr>
        <w:spacing w:after="120"/>
        <w:jc w:val="both"/>
      </w:pPr>
      <w:r>
        <w:rPr>
          <w:sz w:val="19"/>
          <w:szCs w:val="19"/>
        </w:rPr>
        <w:t xml:space="preserve">The minimum every coil row must carry — enforced on every line — plus the header essentials.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Mandatory fields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Every coil entry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Coil No, Grade, Width, Thickness, Weight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Shift header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Date, Shift, Process/Line, Target, Line Incharge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Stoppage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Stoppage code, Time from, Time to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Defect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Defect code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Annealing charge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Charge No, Furnace, at least one coil, Status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Submission</w:t>
            </w:r>
          </w:p>
        </w:tc>
        <w:tc>
          <w:tcPr>
            <w:tcW w:type="dxa" w:w="6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of the above present and range-valid for the whole shift log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Range Validations</w:t>
      </w:r>
    </w:p>
    <w:p>
      <w:pPr>
        <w:spacing w:after="120"/>
        <w:jc w:val="both"/>
      </w:pPr>
      <w:r>
        <w:rPr>
          <w:sz w:val="19"/>
          <w:szCs w:val="19"/>
        </w:rPr>
        <w:t xml:space="preserve">Numeric values are bounded by SOP-derived or grade-derived limits. Soft bounds warn-and-override; SOP safety limits block.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60"/>
        <w:gridCol w:w="1900"/>
        <w:gridCol w:w="1600"/>
      </w:tblGrid>
      <w:tr>
        <w:trPr>
          <w:tblHeader/>
        </w:trP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3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Rule / limit</w:t>
            </w:r>
          </w:p>
        </w:tc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Pickling line speed</w:t>
            </w:r>
          </w:p>
        </w:tc>
        <w:tc>
          <w:tcPr>
            <w:tcW w:type="dxa" w:w="3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HROP 25–40 MPM; CRCA ≤ 60 MPM</w:t>
            </w:r>
          </w:p>
        </w:tc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SOP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Block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Mill ETR/DTR tension</w:t>
            </w:r>
          </w:p>
        </w:tc>
        <w:tc>
          <w:tcPr>
            <w:tcW w:type="dxa" w:w="3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≤ ~7500–7600 kg/mm² max</w:t>
            </w:r>
          </w:p>
        </w:tc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SOP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Block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Annealing O₂ before heating</w:t>
            </w:r>
          </w:p>
        </w:tc>
        <w:tc>
          <w:tcPr>
            <w:tcW w:type="dxa" w:w="3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&lt; 0.5%</w:t>
            </w:r>
          </w:p>
        </w:tc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SOP (safety)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Block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CTL squareness</w:t>
            </w:r>
          </w:p>
        </w:tc>
        <w:tc>
          <w:tcPr>
            <w:tcW w:type="dxa" w:w="3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≤ 1% of width</w:t>
            </w:r>
          </w:p>
        </w:tc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SOP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Warn-override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Acid / Iron strength (tanks)</w:t>
            </w:r>
          </w:p>
        </w:tc>
        <w:tc>
          <w:tcPr>
            <w:tcW w:type="dxa" w:w="3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Within titration band per tank</w:t>
            </w:r>
          </w:p>
        </w:tc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SOP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Warn-override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Hardness / UTS / Elongation</w:t>
            </w:r>
          </w:p>
        </w:tc>
        <w:tc>
          <w:tcPr>
            <w:tcW w:type="dxa" w:w="3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Within grade/customer spec band</w:t>
            </w:r>
          </w:p>
        </w:tc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Spec master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Warn-override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Roughness Ra / RZ</w:t>
            </w:r>
          </w:p>
        </w:tc>
        <w:tc>
          <w:tcPr>
            <w:tcW w:type="dxa" w:w="3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Within Ra/RPC target</w:t>
            </w:r>
          </w:p>
        </w:tc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SOP/spec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Warn-override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Widths / thicknesses / weights</w:t>
            </w:r>
          </w:p>
        </w:tc>
        <w:tc>
          <w:tcPr>
            <w:tcW w:type="dxa" w:w="3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&gt; 0 and within plausible plant range</w:t>
            </w:r>
          </w:p>
        </w:tc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Master/plausibility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Block / Warn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Dependency Validations</w:t>
      </w:r>
    </w:p>
    <w:p>
      <w:pPr>
        <w:spacing w:after="120"/>
        <w:jc w:val="both"/>
      </w:pPr>
      <w:r>
        <w:rPr>
          <w:sz w:val="19"/>
          <w:szCs w:val="19"/>
        </w:rPr>
        <w:t xml:space="preserve">Rules that relate fields to each other or to the coil's history — the checks paper sheets could never enforce.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Dependency rule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Applies to</w:t>
            </w:r>
          </w:p>
        </w:tc>
      </w:tr>
      <w:tr>
        <w:tc>
          <w:tcPr>
            <w:tcW w:type="dxa" w:w="5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Output thickness &lt; input thickness at every rolling step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Cold Rolling, Skin Pass, Rewinding</w:t>
            </w:r>
          </w:p>
        </w:tc>
      </w:tr>
      <w:tr>
        <w:tc>
          <w:tcPr>
            <w:tcW w:type="dxa" w:w="5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Actual width ≤ nominal width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HR Slitting, CRS</w:t>
            </w:r>
          </w:p>
        </w:tc>
      </w:tr>
      <w:tr>
        <w:tc>
          <w:tcPr>
            <w:tcW w:type="dxa" w:w="5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Σ slit widths ≤ parent coil width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HR Slitting, CRS</w:t>
            </w:r>
          </w:p>
        </w:tc>
      </w:tr>
      <w:tr>
        <w:tc>
          <w:tcPr>
            <w:tcW w:type="dxa" w:w="5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Final thickness = last recorded pass; total passes = count of filled passes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Skin Pass</w:t>
            </w:r>
          </w:p>
        </w:tc>
      </w:tr>
      <w:tr>
        <w:tc>
          <w:tcPr>
            <w:tcW w:type="dxa" w:w="5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Charge weight = Σ constituent coil weights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Annealing</w:t>
            </w:r>
          </w:p>
        </w:tc>
      </w:tr>
      <w:tr>
        <w:tc>
          <w:tcPr>
            <w:tcW w:type="dxa" w:w="5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Time To &gt; Time From; stoppage within shift bounds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All (stoppage &amp; entry times)</w:t>
            </w:r>
          </w:p>
        </w:tc>
      </w:tr>
      <w:tr>
        <w:tc>
          <w:tcPr>
            <w:tcW w:type="dxa" w:w="5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Quality values validated against the coil's grade/customer spec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Cold Rolling, CRS</w:t>
            </w:r>
          </w:p>
        </w:tc>
      </w:tr>
      <w:tr>
        <w:tc>
          <w:tcPr>
            <w:tcW w:type="dxa" w:w="5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For-CTL MT ≤ available output weight; routes coil to CTL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CRS → CTL</w:t>
            </w:r>
          </w:p>
        </w:tc>
      </w:tr>
      <w:tr>
        <w:tc>
          <w:tcPr>
            <w:tcW w:type="dxa" w:w="5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Grade/finish consistent with the coil master carried forward</w:t>
            </w:r>
          </w:p>
        </w:tc>
        <w:tc>
          <w:tcPr>
            <w:tcW w:type="dxa" w:w="3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Duplicate Prevention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Shift log</w:t>
      </w:r>
      <w:r>
        <w:rPr>
          <w:sz w:val="19"/>
          <w:szCs w:val="19"/>
        </w:rPr>
        <w:t xml:space="preserve"> is unique on (date, shift, process, mill-type) — a line cannot open two logs for the same shift.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Coil within a shift/process</w:t>
      </w:r>
      <w:r>
        <w:rPr>
          <w:sz w:val="19"/>
          <w:szCs w:val="19"/>
        </w:rPr>
        <w:t xml:space="preserve"> cannot be entered twice; the existing entry is opened for edit instead.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Slit / pass rows</w:t>
      </w:r>
      <w:r>
        <w:rPr>
          <w:sz w:val="19"/>
          <w:szCs w:val="19"/>
        </w:rPr>
        <w:t xml:space="preserve"> are unique within their parent entry (slot A–D; pass 1–6).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Annealing charge no</w:t>
      </w:r>
      <w:r>
        <w:rPr>
          <w:sz w:val="19"/>
          <w:szCs w:val="19"/>
        </w:rPr>
        <w:t xml:space="preserve"> is unique; a coil cannot be in two open charges at once.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CSV import</w:t>
      </w:r>
      <w:r>
        <w:rPr>
          <w:sz w:val="19"/>
          <w:szCs w:val="19"/>
        </w:rPr>
        <w:t xml:space="preserve"> is idempotent on COIL_NO — re-loading updates rather than duplicates.</w:t>
      </w:r>
    </w:p>
    <w:p>
      <w:pPr>
        <w:pStyle w:val="Heading1"/>
      </w:pPr>
      <w:r>
        <w:t xml:space="preserve">6. Data Integrity Rules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All coded fields (customer, grade, defect, stoppage, surface finish, oil grade, furnace) are foreign-key enforced — no free-text codes.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Derived fields (scrap %, total time, total/cumulative production, charge weight) are computed and read-only — never keyed.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Units are fixed per field and stored canonically (MT plant-wide; CTL kg converted on entry).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Coil genealogy is preserved: slit children link to parents; re-rolling keeps the same coil identity.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Locked (approved) records are immutable except through the audited correction workflow (M1-08).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Referential deletes are constrained: a coil with entries cannot be deleted; drafts cascade to their details.</w:t>
      </w:r>
    </w:p>
    <w:p>
      <w:pPr>
        <w:pStyle w:val="Heading1"/>
      </w:pPr>
      <w:r>
        <w:t xml:space="preserve">7. Category Summary</w:t>
      </w:r>
    </w:p>
    <w:p>
      <w:pPr>
        <w:spacing w:after="120"/>
        <w:jc w:val="both"/>
      </w:pPr>
      <w:r>
        <w:rPr>
          <w:sz w:val="19"/>
          <w:szCs w:val="19"/>
        </w:rPr>
        <w:t xml:space="preserve">How the rule types map onto the five data categories the framework must cover.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category</w:t>
            </w:r>
          </w:p>
        </w:tc>
        <w:tc>
          <w:tcPr>
            <w:tcW w:type="dxa" w:w="7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validations</w:t>
            </w:r>
          </w:p>
        </w:tc>
      </w:tr>
      <w:tr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Production data</w:t>
            </w:r>
          </w:p>
        </w:tc>
        <w:tc>
          <w:tcPr>
            <w:tcW w:type="dxa" w:w="7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Mandatory totals/targets; derived totals read-only; time consistency; duplicate shift block</w:t>
            </w:r>
          </w:p>
        </w:tc>
      </w:tr>
      <w:tr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Coil data</w:t>
            </w:r>
          </w:p>
        </w:tc>
        <w:tc>
          <w:tcPr>
            <w:tcW w:type="dxa" w:w="7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Mandatory dims/weight; actual ≤ nominal; FK grade/customer; genealogy integrity</w:t>
            </w:r>
          </w:p>
        </w:tc>
      </w:tr>
      <w:tr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Quality data</w:t>
            </w:r>
          </w:p>
        </w:tc>
        <w:tc>
          <w:tcPr>
            <w:tcW w:type="dxa" w:w="7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Hardness/UTS/elongation/roughness vs spec; defect codes from master; tolerance bands</w:t>
            </w:r>
          </w:p>
        </w:tc>
      </w:tr>
      <w:tr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Machine data</w:t>
            </w:r>
          </w:p>
        </w:tc>
        <w:tc>
          <w:tcPr>
            <w:tcW w:type="dxa" w:w="7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Pressure/temperature/tension/oil/coolant within SOP/plant ranges; plausibility</w:t>
            </w:r>
          </w:p>
        </w:tc>
      </w:tr>
      <w:tr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Shift data</w:t>
            </w:r>
          </w:p>
        </w:tc>
        <w:tc>
          <w:tcPr>
            <w:tcW w:type="dxa" w:w="7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Mandatory header; one log per (date, shift, process, mill); handover completeness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Override Governance &amp; Messaging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Only </w:t>
      </w:r>
      <w:r>
        <w:rPr>
          <w:b/>
          <w:bCs/>
          <w:sz w:val="19"/>
          <w:szCs w:val="19"/>
        </w:rPr>
        <w:t xml:space="preserve">Supervisor/Admin</w:t>
      </w:r>
      <w:r>
        <w:rPr>
          <w:sz w:val="19"/>
          <w:szCs w:val="19"/>
        </w:rPr>
        <w:t xml:space="preserve"> can override a warn-level rule, and only with a recorded reason; overrides are audit-logged.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Block-level</w:t>
      </w:r>
      <w:r>
        <w:rPr>
          <w:sz w:val="19"/>
          <w:szCs w:val="19"/>
        </w:rPr>
        <w:t xml:space="preserve"> rules (mandatory, hard dependency, duplicate, FK, SOP safety) cannot be overridden by anyone.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Messages are plain-language and actionable — they state the expected range/condition and offer a jump-to-field, never a raw code.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Validation thresholds (soft bands, spec links) are Admin-configurable so rules evolve without code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FCB" w:sz="1"/>
              <w:left w:val="single" w:color="B7791F" w:sz="18"/>
              <w:bottom w:val="single" w:color="FCEFCB" w:sz="1"/>
              <w:right w:val="single" w:color="FCEFCB" w:sz="1"/>
            </w:tcBorders>
            <w:shd w:fill="FCEFCB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B7791F"/>
                <w:sz w:val="19"/>
                <w:szCs w:val="19"/>
              </w:rPr>
              <w:t xml:space="preserve">Single source of rules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Every rule in this document is implemented once in the shared validation library and surfaced both as live UI feedback (M1-03) and as server enforcement. There is no second, divergent copy of the rules anywhere in the system.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tabs>
        <w:tab w:val="center" w:pos="4680"/>
        <w:tab w:val="right" w:pos="9360"/>
      </w:tabs>
    </w:pPr>
    <w:r>
      <w:rPr>
        <w:color w:val="5B7A9D"/>
        <w:sz w:val="14"/>
        <w:szCs w:val="14"/>
      </w:rPr>
      <w:t xml:space="preserve">Confidential — Z Company</w:t>
    </w:r>
    <w:r>
      <w:rPr>
        <w:color w:val="5B7A9D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</w:r>
    <w:r>
      <w:rPr>
        <w:color w:val="5B7A9D"/>
        <w:sz w:val="14"/>
        <w:szCs w:val="14"/>
      </w:rPr>
      <w:t xml:space="preserve">	30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4"/>
      </w:pBdr>
      <w:tabs>
        <w:tab w:val="right" w:pos="9360"/>
      </w:tabs>
    </w:pPr>
    <w:r>
      <w:rPr>
        <w:color w:val="5B7A9D"/>
        <w:sz w:val="15"/>
        <w:szCs w:val="15"/>
      </w:rPr>
      <w:t xml:space="preserve">Hero Steels — Module M1</w:t>
    </w:r>
    <w:r>
      <w:rPr>
        <w:color w:val="5B7A9D"/>
        <w:sz w:val="15"/>
        <w:szCs w:val="15"/>
      </w:rPr>
      <w:t xml:space="preserve">	M1-07  ·  Validation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  <w:lvl w:ilvl="1" w15:tentative="1">
      <w:start w:val="1"/>
      <w:numFmt w:val="bullet"/>
      <w:lvlText w:val="–"/>
      <w:lvlJc w:val="left"/>
      <w:pPr>
        <w:ind w:left="9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43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8F0" w:sz="8" w:space="4"/>
      </w:pBdr>
      <w:spacing w:after="14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55A1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Framework</dc:title>
  <dc:creator>M1 Blueprint</dc:creator>
  <cp:lastModifiedBy>Un-named</cp:lastModifiedBy>
  <cp:revision>1</cp:revision>
  <dcterms:created xsi:type="dcterms:W3CDTF">2026-05-29T21:34:00.281Z</dcterms:created>
  <dcterms:modified xsi:type="dcterms:W3CDTF">2026-05-29T21:34:00.281Z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