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3A5F"/>
          <w:sz w:val="40"/>
          <w:szCs w:val="40"/>
        </w:rPr>
        <w:t xml:space="preserve">HERO STEELS LIMITED</w:t>
      </w:r>
    </w:p>
    <w:p>
      <w:pPr>
        <w:spacing w:after="40"/>
      </w:pPr>
      <w:r>
        <w:rPr>
          <w:color w:val="5B7A9D"/>
          <w:sz w:val="20"/>
          <w:szCs w:val="20"/>
        </w:rPr>
        <w:t xml:space="preserve">Cold Rolling Steel Plant  ·  Digital Transformation Initiative</w:t>
      </w:r>
    </w:p>
    <w:p>
      <w:pPr>
        <w:pBdr>
          <w:bottom w:val="single" w:color="C55A11" w:sz="12" w:space="6"/>
        </w:pBdr>
        <w:spacing w:after="360"/>
      </w:pPr>
    </w:p>
    <w:p>
      <w:pPr>
        <w:spacing w:after="0"/>
      </w:pPr>
      <w:r>
        <w:rPr>
          <w:b/>
          <w:bCs/>
          <w:color w:val="C55A11"/>
          <w:sz w:val="26"/>
          <w:szCs w:val="26"/>
        </w:rPr>
        <w:t xml:space="preserve">MODULE M1 — DATA CAPTURE LAYER</w:t>
      </w:r>
    </w:p>
    <w:p>
      <w:pPr>
        <w:spacing w:after="0" w:before="240"/>
      </w:pPr>
      <w:r>
        <w:rPr>
          <w:color w:val="5B7A9D"/>
          <w:sz w:val="20"/>
          <w:szCs w:val="20"/>
        </w:rPr>
        <w:t xml:space="preserve">M1-01   ·   Document 2 of 10</w:t>
      </w:r>
    </w:p>
    <w:p>
      <w:pPr>
        <w:spacing w:after="0" w:before="80"/>
      </w:pPr>
      <w:r>
        <w:rPr>
          <w:b/>
          <w:bCs/>
          <w:color w:val="1F3A5F"/>
          <w:sz w:val="48"/>
          <w:szCs w:val="48"/>
        </w:rPr>
        <w:t xml:space="preserve">System Architecture</w:t>
      </w:r>
    </w:p>
    <w:p>
      <w:pPr>
        <w:spacing w:after="0" w:before="120"/>
      </w:pPr>
      <w:r>
        <w:rPr>
          <w:color w:val="13243B"/>
          <w:sz w:val="22"/>
          <w:szCs w:val="22"/>
        </w:rPr>
        <w:t xml:space="preserve">High-level, application, data-flow, integration, user-access &amp; database views, with a concrete recommended technology stack</w:t>
      </w:r>
    </w:p>
    <w:p>
      <w:pPr>
        <w:spacing w:after="0" w:before="600"/>
      </w:pPr>
      <w:r>
        <w:rPr>
          <w:b/>
          <w:bCs/>
          <w:color w:val="1F3A5F"/>
          <w:sz w:val="19"/>
          <w:szCs w:val="19"/>
        </w:rPr>
        <w:t xml:space="preserve">Document set — M1 Technical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M1-00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Blueprint Overview &amp; Index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M1-01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System Architecture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M1-02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Process-Wise Data Capture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M1-03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UX Design &amp; Operator Workflow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M1-04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 Model &amp; Database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M1-05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Role-Based Access Control &amp; Security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M1-06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Planning Integration &amp; Export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M1-07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Validation Framework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M1-08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 Trail &amp; Compliance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M1-09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Reporting &amp; Monitoring</w:t>
            </w:r>
          </w:p>
        </w:tc>
      </w:tr>
    </w:tbl>
    <w:p>
      <w:pPr>
        <w:spacing w:after="0" w:before="500"/>
      </w:pPr>
      <w:r>
        <w:rPr>
          <w:color w:val="5B7A9D"/>
          <w:sz w:val="16"/>
          <w:szCs w:val="16"/>
        </w:rPr>
        <w:t xml:space="preserve">Prepared for Z Company  ·  Role: Manufacturing Digital Transformation Consultant / Industrial Software Architect</w:t>
      </w:r>
    </w:p>
    <w:p>
      <w:pPr>
        <w:spacing w:after="0"/>
      </w:pPr>
      <w:r>
        <w:rPr>
          <w:color w:val="5B7A9D"/>
          <w:sz w:val="16"/>
          <w:szCs w:val="16"/>
        </w:rPr>
        <w:t xml:space="preserve">Version 1.0  ·  30 May 2026  ·  Confidential</w:t>
      </w:r>
    </w:p>
    <w:p>
      <w:r>
        <w:br w:type="page"/>
      </w:r>
    </w:p>
    <w:p>
      <w:pPr>
        <w:spacing w:after="120"/>
      </w:pPr>
      <w:r>
        <w:rPr>
          <w:b/>
          <w:bCs/>
          <w:color w:val="1F3A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/>
        <w:jc w:val="both"/>
      </w:pPr>
      <w:r>
        <w:rPr>
          <w:sz w:val="19"/>
          <w:szCs w:val="19"/>
        </w:rPr>
        <w:t xml:space="preserve">M1 is a layered, service-oriented system that runs on the plant network and is reachable from every shop-floor device. The architecture is deliberately conservative: proven components, offline tolerance, clear separation of concerns, and stable contracts at every boundary so later modules attach without disturbing capture. Six views describe it — high-level, application, data flow, integration, user access, and database — followed by the recommended technology stack and deployment topology.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Architectural response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Shop floor must keep working if the network blips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Offline-first PWA with a local queue; line edge cache; sync on reconnect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Entry must be fast under production pressure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Thin capture API, optimistic UI, server-side validation that returns in &lt;300 ms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Data must be trustworthy and traceable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Single coil spine, server-enforced validation, immutable audit trail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Other modules will consume this data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Versioned REST APIs + domain events + read replica; no direct table access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Plant IT favours supportable, common technology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PostgreSQL, containerised services, standard OIDC SSO, SAP via OData/RFC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High-Level Architecture</w:t>
      </w:r>
    </w:p>
    <w:p>
      <w:pPr>
        <w:spacing w:after="120"/>
        <w:jc w:val="both"/>
      </w:pPr>
      <w:r>
        <w:rPr>
          <w:sz w:val="19"/>
          <w:szCs w:val="19"/>
        </w:rPr>
        <w:t xml:space="preserve">Six horizontal layers, with security, RBAC, audit and observability as cross-cutting concerns that touch every layer. Devices talk only to the application layer; the application layer talks only to the API layer; persistence, integration and analytics sit behind the services. This strict layering is what keeps the system modular.</w:t>
      </w:r>
    </w:p>
    <w:p>
      <w:pPr>
        <w:spacing w:after="40" w:before="60"/>
        <w:jc w:val="center"/>
      </w:pPr>
      <w:r>
        <w:drawing>
          <wp:inline distT="0" distB="0" distL="0" distR="0">
            <wp:extent cx="6038850" cy="3009900"/>
            <wp:effectExtent t="0" r="0" b="0" l="0"/>
            <wp:docPr id="1" name="diagram" descr="M1 high-level layered architecture" title="M1 high-level layere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M1 high-level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Presentation / Device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Industrial touchscreens, rugged tablets and browsers; renders forms and dashboards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Application (PWA)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forms, master-data pickers, offline cache &amp; sync engine, operator dashboard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API &amp; Domain Services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Capture, validation, master-data, planning/import, reporting, auth/RBAC, export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Data / Persistence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OLTP, BI read replica, object store for attachments/exports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Integration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SAP (PP/MM/QM), PP&amp;C CSV import, coil-master sync, temporary export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Analytics &amp; Monitoring</w:t>
            </w:r>
          </w:p>
        </w:tc>
        <w:tc>
          <w:tcPr>
            <w:tcW w:type="dxa" w:w="6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OEE, downtime, yield, rejections, traceability, quality trends, shift performance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Application Architecture</w:t>
      </w:r>
    </w:p>
    <w:p>
      <w:pPr>
        <w:spacing w:after="120"/>
        <w:jc w:val="both"/>
      </w:pPr>
      <w:r>
        <w:rPr>
          <w:sz w:val="19"/>
          <w:szCs w:val="19"/>
        </w:rPr>
        <w:t xml:space="preserve">The client is a single Progressive Web App (PWA) installed to the device home screen. It is composed of an app shell plus ten interchangeable process-form modules that all reuse the same shared components (header block, master-data pickers, stoppage/defect/crew sub-forms). An offline cache (IndexedDB) and a sync engine make capture resilient to network loss. The backend is a set of focused services behind one API gateway.</w:t>
      </w:r>
    </w:p>
    <w:p>
      <w:pPr>
        <w:spacing w:after="40" w:before="60"/>
        <w:jc w:val="center"/>
      </w:pPr>
      <w:r>
        <w:drawing>
          <wp:inline distT="0" distB="0" distL="0" distR="0">
            <wp:extent cx="6038850" cy="5191125"/>
            <wp:effectExtent t="0" r="0" b="0" l="0"/>
            <wp:docPr id="1" name="diagram" descr="Application components — client modules, API gateway, backend services" title="Application components — client modules, API gateway, backend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Application components — client modules, API gateway, backend services</w:t>
      </w:r>
    </w:p>
    <w:p>
      <w:pPr>
        <w:pStyle w:val="Heading2"/>
      </w:pPr>
      <w:r>
        <w:t xml:space="preserve">3.1 Client composition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App shell &amp; navigation</w:t>
      </w:r>
      <w:r>
        <w:rPr>
          <w:sz w:val="19"/>
          <w:szCs w:val="19"/>
        </w:rPr>
        <w:t xml:space="preserve"> — login, line/shift context, routing; loads instantly from cache.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Process form modules (×10)</w:t>
      </w:r>
      <w:r>
        <w:rPr>
          <w:sz w:val="19"/>
          <w:szCs w:val="19"/>
        </w:rPr>
        <w:t xml:space="preserve"> — one per process; each is just its process-specific section plus the shared blocks.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Master-data pickers</w:t>
      </w:r>
      <w:r>
        <w:rPr>
          <w:sz w:val="19"/>
          <w:szCs w:val="19"/>
        </w:rPr>
        <w:t xml:space="preserve"> — customer, grade, defect, stoppage, operator; cached locally and searchable offline.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Offline cache (IndexedDB)</w:t>
      </w:r>
      <w:r>
        <w:rPr>
          <w:sz w:val="19"/>
          <w:szCs w:val="19"/>
        </w:rPr>
        <w:t xml:space="preserve"> — the active shift's plan, coils and masters are pre-loaded at shift start.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Sync engine</w:t>
      </w:r>
      <w:r>
        <w:rPr>
          <w:sz w:val="19"/>
          <w:szCs w:val="19"/>
        </w:rPr>
        <w:t xml:space="preserve"> — queues entries, retries on reconnect, resolves conflicts by last-writer-with-audit.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Operator dashboard</w:t>
      </w:r>
      <w:r>
        <w:rPr>
          <w:sz w:val="19"/>
          <w:szCs w:val="19"/>
        </w:rPr>
        <w:t xml:space="preserve"> — target vs produced, open coils, running stoppage, shift progress.</w:t>
      </w:r>
    </w:p>
    <w:p>
      <w:pPr>
        <w:pStyle w:val="Heading2"/>
      </w:pPr>
      <w:r>
        <w:t xml:space="preserve">3.2 Backend services</w:t>
      </w:r>
    </w:p>
    <w:p>
      <w:pPr>
        <w:spacing w:after="120"/>
        <w:jc w:val="both"/>
      </w:pPr>
      <w:r>
        <w:rPr>
          <w:sz w:val="19"/>
          <w:szCs w:val="19"/>
        </w:rPr>
        <w:t xml:space="preserve">Services are independently deployable but share one database. Splitting them by responsibility keeps each small and lets reporting or integration scale separately from capture.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Capture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Create/update shift logs and process entries; orchestrates validation; emits events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Validation engine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Stateless rule evaluation (range, mandatory, dependency, duplicate, spec) — shared by client &amp; server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Master-data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Serves and manages customer, grade, defect, stoppage, operator, furnace masters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Planning / Import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CSV import pipeline and SAP sync; populates plan &amp; coil master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Reporting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Reads the replica; serves dashboards and KPI aggregates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Auth &amp; RBAC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OIDC token validation, role &amp; line-scope resolution, policy enforcement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Audit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Writes the immutable audit log; manages change requests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Export (temporary)</w:t>
            </w:r>
          </w:p>
        </w:tc>
        <w:tc>
          <w:tcPr>
            <w:tcW w:type="dxa" w:w="6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Generates filtered CSV/XLSX extracts; logs every export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Data Flow Architecture</w:t>
      </w:r>
    </w:p>
    <w:p>
      <w:pPr>
        <w:spacing w:after="120"/>
        <w:jc w:val="both"/>
      </w:pPr>
      <w:r>
        <w:rPr>
          <w:sz w:val="19"/>
          <w:szCs w:val="19"/>
        </w:rPr>
        <w:t xml:space="preserve">Data flows along the physical material path. Planning seeds the coil master; each process reads the coil's current state, captures its shift data, and writes the coil forward with refined dimensions and properties. Annealing introduces a charge/base grouping over coils. CRS may set a For-CTL routing flag. Every capture also feeds the reporting/traceability layer.</w:t>
      </w:r>
    </w:p>
    <w:p>
      <w:pPr>
        <w:spacing w:after="40" w:before="60"/>
        <w:jc w:val="center"/>
      </w:pPr>
      <w:r>
        <w:drawing>
          <wp:inline distT="0" distB="0" distL="0" distR="0">
            <wp:extent cx="6219825" cy="1238250"/>
            <wp:effectExtent t="0" r="0" b="0" l="0"/>
            <wp:docPr id="1" name="diagram" descr="Material-and-data flow with the COIL_NO traceability spine" title="Material-and-data flow with the COIL_NO traceability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Material-and-data flow with the COIL_NO traceability spine</w:t>
      </w:r>
    </w:p>
    <w:p>
      <w:pPr>
        <w:spacing w:after="120"/>
        <w:jc w:val="both"/>
      </w:pPr>
      <w:r>
        <w:rPr>
          <w:sz w:val="19"/>
          <w:szCs w:val="19"/>
        </w:rPr>
        <w:t xml:space="preserve">At each handoff the coil identity, grade and current dimensions/weight carry forward; thickness reduces through rolling, and mechanical properties are set at annealing and verified at CRS. Because all processes write to one coil record, a coil's full genealogy is reconstructable at any point — the basis of the traceability analytics in M1-09.</w:t>
      </w:r>
    </w:p>
    <w:p>
      <w:pPr>
        <w:pStyle w:val="Heading1"/>
      </w:pPr>
      <w:r>
        <w:t xml:space="preserve">5. Integration Architecture</w:t>
      </w:r>
    </w:p>
    <w:p>
      <w:pPr>
        <w:spacing w:after="120"/>
        <w:jc w:val="both"/>
      </w:pPr>
      <w:r>
        <w:rPr>
          <w:sz w:val="19"/>
          <w:szCs w:val="19"/>
        </w:rPr>
        <w:t xml:space="preserve">M1 sources planning and master data from SAP and the PP&amp;C scheduling spreadsheets, and (interim) exports actuals back out. An integration layer isolates M1 from source-system specifics: connectors fetch, a mapping/transform step normalises to canonical fields and units, a staging area reconciles, and only validated records are upserted into M1.</w:t>
      </w:r>
    </w:p>
    <w:p>
      <w:pPr>
        <w:spacing w:after="40" w:before="60"/>
        <w:jc w:val="center"/>
      </w:pPr>
      <w:r>
        <w:drawing>
          <wp:inline distT="0" distB="0" distL="0" distR="0">
            <wp:extent cx="6038850" cy="2266950"/>
            <wp:effectExtent t="0" r="0" b="0" l="0"/>
            <wp:docPr id="1" name="diagram" descr="Integration layer between source systems and the M1 core" title="Integration layer between source systems and the M1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Integration layer between source systems and the M1 core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Inbound, Phase 1 (CSV):</w:t>
      </w:r>
      <w:r>
        <w:rPr>
          <w:sz w:val="19"/>
          <w:szCs w:val="19"/>
        </w:rPr>
        <w:t xml:space="preserve"> PP&amp;C schedule files are dropped/scheduled, validated, staged and loaded into plan &amp; coil master.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Inbound, Phase 2 (SAP):</w:t>
      </w:r>
      <w:r>
        <w:rPr>
          <w:sz w:val="19"/>
          <w:szCs w:val="19"/>
        </w:rPr>
        <w:t xml:space="preserve"> OData/RFC connectors pull production orders, customer/grade master and QM specs on a schedule or event.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Outbound (interim):</w:t>
      </w:r>
      <w:r>
        <w:rPr>
          <w:sz w:val="19"/>
          <w:szCs w:val="19"/>
        </w:rPr>
        <w:t xml:space="preserve"> the temporary export service produces CSV/XLSX for existing reports until write-back/modules are live.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Future:</w:t>
      </w:r>
      <w:r>
        <w:rPr>
          <w:sz w:val="19"/>
          <w:szCs w:val="19"/>
        </w:rPr>
        <w:t xml:space="preserve"> actuals write-back to SAP PP and event publication to downstream modules (M2–M7).</w:t>
      </w:r>
    </w:p>
    <w:p>
      <w:pPr>
        <w:pStyle w:val="Heading1"/>
      </w:pPr>
      <w:r>
        <w:t xml:space="preserve">6. User Access Architecture</w:t>
      </w:r>
    </w:p>
    <w:p>
      <w:pPr>
        <w:spacing w:after="120"/>
        <w:jc w:val="both"/>
      </w:pPr>
      <w:r>
        <w:rPr>
          <w:sz w:val="19"/>
          <w:szCs w:val="19"/>
        </w:rPr>
        <w:t xml:space="preserve">Authentication is delegated to the plant identity provider via OIDC SSO (with a badge + PIN fallback for shared shop-floor terminals). The API gateway validates the token; the RBAC policy engine resolves the user's role and the lines they may access; and data access is filtered at the row level by line and role. An operator physically cannot see another line's data — the filter is applied server-side, not in the UI.</w:t>
      </w:r>
    </w:p>
    <w:p>
      <w:pPr>
        <w:spacing w:after="40" w:before="60"/>
        <w:jc w:val="center"/>
      </w:pPr>
      <w:r>
        <w:drawing>
          <wp:inline distT="0" distB="0" distL="0" distR="0">
            <wp:extent cx="6038850" cy="1514475"/>
            <wp:effectExtent t="0" r="0" b="0" l="0"/>
            <wp:docPr id="1" name="diagram" descr="Authentication, RBAC and line-scoped data access" title="Authentication, RBAC and line-scoped data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Authentication, RBAC and line-scoped data access</w:t>
      </w:r>
    </w:p>
    <w:p>
      <w:pPr>
        <w:spacing w:after="120"/>
        <w:jc w:val="both"/>
      </w:pPr>
      <w:r>
        <w:rPr>
          <w:sz w:val="19"/>
          <w:szCs w:val="19"/>
        </w:rPr>
        <w:t xml:space="preserve">Role definitions and the full permission matrix are in M1-05. The key architectural point is that line-scoping is enforced in the data layer (row-level), so every API — capture, reporting, export — inherits the same access rules automatically.</w:t>
      </w:r>
    </w:p>
    <w:p>
      <w:pPr>
        <w:pStyle w:val="Heading1"/>
      </w:pPr>
      <w:r>
        <w:t xml:space="preserve">7. Database Architecture</w:t>
      </w:r>
    </w:p>
    <w:p>
      <w:pPr>
        <w:spacing w:after="120"/>
        <w:jc w:val="both"/>
      </w:pPr>
      <w:r>
        <w:rPr>
          <w:sz w:val="19"/>
          <w:szCs w:val="19"/>
        </w:rPr>
        <w:t xml:space="preserve">A single PostgreSQL primary handles OLTP capture, organised into logical schemas (master, coil, txn, planning, security, audit). A streaming read replica serves reporting and BI so analytics never competes with capture for resources. An object store holds attachments and generated exports; backups with point-in-time recovery and a DR standby protect the record.</w:t>
      </w:r>
    </w:p>
    <w:p>
      <w:pPr>
        <w:spacing w:after="40" w:before="60"/>
        <w:jc w:val="center"/>
      </w:pPr>
      <w:r>
        <w:drawing>
          <wp:inline distT="0" distB="0" distL="0" distR="0">
            <wp:extent cx="6219825" cy="1057275"/>
            <wp:effectExtent t="0" r="0" b="0" l="0"/>
            <wp:docPr id="1" name="diagram" descr="Database logical architecture and supporting stores" title="Database logical architecture and supporting s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Database logical architecture and supporting stores</w:t>
      </w:r>
    </w:p>
    <w:p>
      <w:pPr>
        <w:spacing w:after="120"/>
        <w:jc w:val="both"/>
      </w:pPr>
      <w:r>
        <w:rPr>
          <w:sz w:val="19"/>
          <w:szCs w:val="19"/>
        </w:rPr>
        <w:t xml:space="preserve">The schema separation mirrors the modularity strategy: masters are shared and slowly-changing; transaction tables are append-heavy and partitioned by date; audit is write-once. Full table structures, keys and the runnable DDL are in M1-04 and the companion M1_schema.sql.</w:t>
      </w:r>
    </w:p>
    <w:p>
      <w:pPr>
        <w:pStyle w:val="Heading1"/>
      </w:pPr>
      <w:r>
        <w:t xml:space="preserve">8. Recommended Technology Stack</w:t>
      </w:r>
    </w:p>
    <w:p>
      <w:pPr>
        <w:spacing w:after="120"/>
        <w:jc w:val="both"/>
      </w:pPr>
      <w:r>
        <w:rPr>
          <w:sz w:val="19"/>
          <w:szCs w:val="19"/>
        </w:rPr>
        <w:t xml:space="preserve">The stack below is chosen for shop-floor reliability, plant-IT supportability, and a clean path to the later modules. It favours mature, widely-supported components over novelty.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Client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React + TypeScript PWA (offline-first, service worker, IndexedDB)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One codebase for touchscreen/tablet/browser; installable; works through network blips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UI controls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Large-target component library; on-screen numeric keypad; virtualised pickers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Built for gloved, standing operators (see M1-03)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REST/JSON over HTTPS behind an API gateway; OpenAPI-documented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Simple, cacheable, easy for later modules to consume; versioned contracts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Services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Containerised (Docker) Node.js/TypeScript or Java/Spring Boot services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Independently deployable; common skills in plant IT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Validation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Shared rule library packaged for both client and server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Identical rules everywhere; no client/server drift (M1-07)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PostgreSQL 15+ (primary + streaming read replica), date-partitioned txn tables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ACID, JSONB for flexible attributes, robust replication, no licence cost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OIDC SSO (Keycloak / Azure AD / plant IdP); badge+PIN fallback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Plant-standard identity; MFA where required; shared-terminal friendly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Integration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Scheduler + CSV pipeline now; SAP OData/RFC connector + middleware later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Phased: value from CSV immediately, SAP when scope is signed off (M1-06)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Object store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S3-compatible store (on-prem MinIO or cloud)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Attachments and exports off the OLTP database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Central logs + metrics + uptime alerts; structured audit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Operability and the compliance trail (M1-08)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Deployment</w:t>
            </w:r>
          </w:p>
        </w:tc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On-prem plant data centre (latency, autonomy) or private cloud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Capture must survive WAN loss; on-prem keeps the floor independent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Deployment &amp; Topology</w:t>
      </w:r>
    </w:p>
    <w:p>
      <w:pPr>
        <w:spacing w:after="120"/>
        <w:jc w:val="both"/>
      </w:pPr>
      <w:r>
        <w:rPr>
          <w:sz w:val="19"/>
          <w:szCs w:val="19"/>
        </w:rPr>
        <w:t xml:space="preserve">Devices on each line reach an app-server cluster (load-balanced, 2+ nodes) in the plant data centre. A line edge cache buffers entries during brief network loss. The database runs primary + replica; an integration server brokers SAP/PP&amp;C; a BI server reads the replica; backups stream to a DR site.</w:t>
      </w:r>
    </w:p>
    <w:p>
      <w:pPr>
        <w:spacing w:after="40" w:before="60"/>
        <w:jc w:val="center"/>
      </w:pPr>
      <w:r>
        <w:drawing>
          <wp:inline distT="0" distB="0" distL="0" distR="0">
            <wp:extent cx="6219825" cy="1447800"/>
            <wp:effectExtent t="0" r="0" b="0" l="0"/>
            <wp:docPr id="1" name="diagram" descr="Deployment topology — shop floor, plant data centre, SAP and DR" title="Deployment topology — shop floor, plant data centre, SAP and 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Deployment topology — shop floor, plant data centre, SAP and DR</w:t>
      </w:r>
    </w:p>
    <w:p>
      <w:pPr>
        <w:pStyle w:val="Heading2"/>
      </w:pPr>
      <w:r>
        <w:t xml:space="preserve">9.1 Indicative sizing (pilot → plant-wide)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Pilot (1–2 lines)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Plant-wide (10 processes)</w:t>
            </w:r>
          </w:p>
        </w:tc>
      </w:tr>
      <w:tr>
        <w:tc>
          <w:tcPr>
            <w:tcW w:type="dxa" w:w="3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Concurrent devices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5–15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40–80</w:t>
            </w:r>
          </w:p>
        </w:tc>
      </w:tr>
      <w:tr>
        <w:tc>
          <w:tcPr>
            <w:tcW w:type="dxa" w:w="3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Coil entries / day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300–800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3,000–6,000</w:t>
            </w:r>
          </w:p>
        </w:tc>
      </w:tr>
      <w:tr>
        <w:tc>
          <w:tcPr>
            <w:tcW w:type="dxa" w:w="3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App nodes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(HA pair)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3–4 behind LB</w:t>
            </w:r>
          </w:p>
        </w:tc>
      </w:tr>
      <w:tr>
        <w:tc>
          <w:tcPr>
            <w:tcW w:type="dxa" w:w="3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DB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primary + 1 replica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primary + 1–2 replicas, partitioned</w:t>
            </w:r>
          </w:p>
        </w:tc>
      </w:tr>
      <w:tr>
        <w:tc>
          <w:tcPr>
            <w:tcW w:type="dxa" w:w="3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Storage growth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~1–2 GB / month</w:t>
            </w:r>
          </w:p>
        </w:tc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~10–20 GB / month (excl. attachments)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Quality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 / approach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99.5% on the floor; offline capture means brief outages don't stop work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 open &lt; 1 s; validate+save &lt; 300 ms; dashboard &lt; 2 s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Stateless services scale horizontally; replica absorbs reporting load; txn tables partitioned by date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Resilience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Edge cache + client queue tolerate network loss; DB failover to replica; DR standby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OIDC SSO, row-level line scoping, TLS everywhere, least-privilege service accounts (M1-05)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Auditability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Immutable audit log on every change; correction via approval workflow (M1-08)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Modularity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Versioned APIs + events + read replica; schema separation; one process module per line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Containerised, OpenAPI-documented, shared validation library, infrastructure-as-code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center" w:pos="4680"/>
        <w:tab w:val="right" w:pos="9360"/>
      </w:tabs>
    </w:pPr>
    <w:r>
      <w:rPr>
        <w:color w:val="5B7A9D"/>
        <w:sz w:val="14"/>
        <w:szCs w:val="14"/>
      </w:rPr>
      <w:t xml:space="preserve">Confidential — Z Company</w:t>
    </w:r>
    <w:r>
      <w:rPr>
        <w:color w:val="5B7A9D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  <w:r>
      <w:rPr>
        <w:color w:val="5B7A9D"/>
        <w:sz w:val="14"/>
        <w:szCs w:val="14"/>
      </w:rPr>
      <w:t xml:space="preserve">	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360"/>
      </w:tabs>
    </w:pPr>
    <w:r>
      <w:rPr>
        <w:color w:val="5B7A9D"/>
        <w:sz w:val="15"/>
        <w:szCs w:val="15"/>
      </w:rPr>
      <w:t xml:space="preserve">Hero Steels — Module M1</w:t>
    </w:r>
    <w:r>
      <w:rPr>
        <w:color w:val="5B7A9D"/>
        <w:sz w:val="15"/>
        <w:szCs w:val="15"/>
      </w:rPr>
      <w:t xml:space="preserve">	M1-01  · 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4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8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e0042da9adbd516da5f487e7743870d482d7d7.png"/><Relationship Id="rId10" Type="http://schemas.openxmlformats.org/officeDocument/2006/relationships/image" Target="media/7873ace988122e827c59d75bbff348715eb2da9a.png"/><Relationship Id="rId11" Type="http://schemas.openxmlformats.org/officeDocument/2006/relationships/image" Target="media/4fff51c96d2027b5a53fbfda28cc744de8e3d1da.png"/><Relationship Id="rId12" Type="http://schemas.openxmlformats.org/officeDocument/2006/relationships/image" Target="media/bb322eb20c69a5480b4c7d78b9f5f5db983b0bf4.png"/><Relationship Id="rId13" Type="http://schemas.openxmlformats.org/officeDocument/2006/relationships/image" Target="media/8ea3c9ea8d7c48a0d475e49794a7e1311dfa9630.png"/><Relationship Id="rId14" Type="http://schemas.openxmlformats.org/officeDocument/2006/relationships/image" Target="media/6a4c076b54a814d8082672109aa125d7364f2caf.png"/><Relationship Id="rId15" Type="http://schemas.openxmlformats.org/officeDocument/2006/relationships/image" Target="media/43a891e1b4847c0afb9d2deeb2a6c4b799f3047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</dc:title>
  <dc:creator>M1 Blueprint</dc:creator>
  <cp:lastModifiedBy>Un-named</cp:lastModifiedBy>
  <cp:revision>1</cp:revision>
  <dcterms:created xsi:type="dcterms:W3CDTF">2026-05-29T21:33:59.486Z</dcterms:created>
  <dcterms:modified xsi:type="dcterms:W3CDTF">2026-05-29T21:33:59.486Z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