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1F3864"/>
          <w:sz w:val="56"/>
          <w:szCs w:val="56"/>
        </w:rPr>
        <w:t xml:space="preserve">PHAROS</w:t>
      </w:r>
    </w:p>
    <w:p>
      <w:pPr>
        <w:spacing w:after="40"/>
      </w:pPr>
      <w:r>
        <w:rPr>
          <w:b/>
          <w:bCs/>
          <w:color w:val="2E5395"/>
          <w:sz w:val="30"/>
          <w:szCs w:val="30"/>
        </w:rPr>
        <w:t xml:space="preserve">Complete On-Premises Technical Requirements</w:t>
      </w:r>
    </w:p>
    <w:p>
      <w:pPr>
        <w:spacing w:after="200"/>
      </w:pPr>
      <w:r>
        <w:rPr>
          <w:b/>
          <w:bCs/>
          <w:color w:val="2E5395"/>
          <w:sz w:val="30"/>
          <w:szCs w:val="30"/>
        </w:rPr>
        <w:t xml:space="preserve">Windows Server Compatibility &amp; Operational Workflow</w:t>
      </w:r>
    </w:p>
    <w:p>
      <w:pPr>
        <w:spacing w:after="40"/>
      </w:pPr>
      <w:r>
        <w:rPr>
          <w:b/>
          <w:bCs/>
          <w:sz w:val="22"/>
          <w:szCs w:val="22"/>
        </w:rPr>
        <w:t xml:space="preserve">September 2026</w:t>
      </w:r>
    </w:p>
    <w:p>
      <w:pPr>
        <w:spacing w:after="300"/>
      </w:pPr>
      <w:r>
        <w:rPr>
          <w:i/>
          <w:iCs/>
          <w:sz w:val="22"/>
          <w:szCs w:val="22"/>
        </w:rPr>
        <w:t xml:space="preserve">Police Hierarchical Automated Reporting &amp; Operations System (PHAROS)</w:t>
      </w:r>
    </w:p>
    <w:p>
      <w:pPr>
        <w:spacing w:after="160" w:line="276"/>
      </w:pPr>
      <w:r>
        <w:t xml:space="preserve">This document is intended for Police Technical / IT, Network, Infrastructure, Database, Security and Operations teams. It defines what the PHAROS platform must support, how its services are expected to be used, how major workloads flow through the system, and which infrastructure decisions must be finalized by Police IT. Windows Server is treated throughout as the primary, IT-mandated on-premises platform rather than as a late addition to a Linux-first design: every dependency, service, and operational procedure below is stated in terms of what actually ships, is supported, and is tested on Windows Server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40"/>
              <w:left w:type="dxa" w:w="160"/>
              <w:bottom w:type="dxa" w:w="140"/>
              <w:right w:type="dxa" w:w="160"/>
            </w:tcMar>
          </w:tcPr>
          <w:p>
            <w:pPr>
              <w:spacing w:after="60"/>
            </w:pPr>
            <w:r>
              <w:rPr>
                <w:b/>
                <w:bCs/>
              </w:rPr>
              <w:t xml:space="preserve">Revision note on realism and scope</w:t>
            </w:r>
          </w:p>
          <w:p>
            <w:pPr>
              <w:spacing w:after="0"/>
            </w:pPr>
            <w:r>
              <w:t xml:space="preserve">This revision corrects several points where the prior draft's Windows guidance did not match current vendor support reality (edition naming, Redis, WeasyPrint, PgBouncer, RabbitMQ, PostgreSQL HA tooling, and process supervision). Each affected component below states the specific, named Windows-compatible product or mechanism Police IT should procure or configure, rather than a generic instruction to "validate on Windows."</w:t>
            </w:r>
          </w:p>
        </w:tc>
      </w:tr>
    </w:tbl>
    <w:p>
      <w:r>
        <w:br w:type="page"/>
      </w:r>
    </w:p>
    <w:p>
      <w:pPr>
        <w:pStyle w:val="Heading1"/>
        <w:spacing w:after="160" w:before="360"/>
      </w:pPr>
      <w:r>
        <w:t xml:space="preserve">1. Executive Summary</w:t>
      </w:r>
    </w:p>
    <w:p>
      <w:pPr>
        <w:spacing w:after="160" w:line="276"/>
      </w:pPr>
      <w:r>
        <w:t xml:space="preserve">PHAROS is planned as a centralized on-premises police reporting and operations platform serving the Delhi Police hierarchy, deployed on Windows Server as the mandated Police IT operating system. The logical application is shared across districts while authorization and jurisdiction scope determine what each user can see and operate on. The production baseline is approximately 2,300 registered users, 100–150 average concurrent users, 460–500 peak concurrent users, 50–100 peak API requests per second and approximately 1.92 million new top-level operational records per year. The platform is expected to retain historical records rather than routinely delete them, so infrastructure planning must account for long-term growth, audit history, generated reports, indexes, write-ahead logging (WAL) and temporary working space.</w:t>
      </w:r>
    </w:p>
    <w:p>
      <w:pPr>
        <w:spacing w:after="160" w:line="276"/>
      </w:pPr>
      <w:r>
        <w:t xml:space="preserve">The recommended logical service stack is a browser-based frontend, a Windows-native reverse proxy/load-balancer, a Node.js API tier, PostgreSQL as the authoritative system of record, RabbitMQ as the asynchronous job/event broker, a Redis-compatible cache for non-authoritative short-lived state, and Python-based background workers for long-running report and document processing. Every one of these components has a genuine, vendor-supported path on Windows Server; the sections below name the specific product or mechanism for each rather than treating Windows as an afterthought to a Linux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40"/>
              <w:left w:type="dxa" w:w="160"/>
              <w:bottom w:type="dxa" w:w="140"/>
              <w:right w:type="dxa" w:w="160"/>
            </w:tcMar>
          </w:tcPr>
          <w:p>
            <w:pPr>
              <w:spacing w:after="60"/>
            </w:pPr>
            <w:r>
              <w:rPr>
                <w:b/>
                <w:bCs/>
              </w:rPr>
              <w:t xml:space="preserve">Correcting the platform name</w:t>
            </w:r>
          </w:p>
          <w:p>
            <w:pPr>
              <w:spacing w:after="0"/>
            </w:pPr>
            <w:r>
              <w:t xml:space="preserve">“Windows Server Enterprise” is not a currently shipping edition. Since Windows Server 2012, Microsoft's on-premises lineup has been Essentials, Standard, and Datacenter (plus a cloud-only Datacenter: Azure Edition). This document assumes Windows Server 2025 — available in the same edition set — and recommends Datacenter edition for the production estate (see Section 12) because of its unlimited-virtualization rights and Storage Spaces Direct support, which matter for an HA, multi-node PHAROS deployment. Police IT should confirm the exact release and edition before procurement.</w:t>
            </w:r>
          </w:p>
        </w:tc>
      </w:tr>
    </w:tbl>
    <w:p>
      <w:pPr>
        <w:pStyle w:val="Heading1"/>
        <w:spacing w:after="160" w:before="360"/>
      </w:pPr>
      <w:r>
        <w:t xml:space="preserve">2. Scope and Design Principles</w:t>
      </w:r>
    </w:p>
    <w:p>
      <w:pPr>
        <w:pStyle w:val="ListParagraph"/>
        <w:numPr>
          <w:ilvl w:val="0"/>
          <w:numId w:val="2"/>
        </w:numPr>
        <w:spacing w:after="90" w:line="276"/>
      </w:pPr>
      <w:r>
        <w:t xml:space="preserve">PHAROS shall be deployable as a centralized on-premises platform running on Windows Server.</w:t>
      </w:r>
    </w:p>
    <w:p>
      <w:pPr>
        <w:pStyle w:val="ListParagraph"/>
        <w:numPr>
          <w:ilvl w:val="0"/>
          <w:numId w:val="2"/>
        </w:numPr>
        <w:spacing w:after="90" w:line="276"/>
      </w:pPr>
      <w:r>
        <w:t xml:space="preserve">The platform shall support Police Stations, Sub-Divisions, Districts, Ranges/Zones, HQ and Special Cells according to configured hierarchy and permissions.</w:t>
      </w:r>
    </w:p>
    <w:p>
      <w:pPr>
        <w:pStyle w:val="ListParagraph"/>
        <w:numPr>
          <w:ilvl w:val="0"/>
          <w:numId w:val="2"/>
        </w:numPr>
        <w:spacing w:after="90" w:line="276"/>
      </w:pPr>
      <w:r>
        <w:t xml:space="preserve">The application shall remain independent of a specific physical-server, VM, container or clustering implementation, provided that implementation runs on the approved Windows Server release.</w:t>
      </w:r>
    </w:p>
    <w:p>
      <w:pPr>
        <w:pStyle w:val="ListParagraph"/>
        <w:numPr>
          <w:ilvl w:val="0"/>
          <w:numId w:val="2"/>
        </w:numPr>
        <w:spacing w:after="90" w:line="276"/>
      </w:pPr>
      <w:r>
        <w:t xml:space="preserve">PostgreSQL shall remain the authoritative source for durable operational data.</w:t>
      </w:r>
    </w:p>
    <w:p>
      <w:pPr>
        <w:pStyle w:val="ListParagraph"/>
        <w:numPr>
          <w:ilvl w:val="0"/>
          <w:numId w:val="2"/>
        </w:numPr>
        <w:spacing w:after="90" w:line="276"/>
      </w:pPr>
      <w:r>
        <w:t xml:space="preserve">RabbitMQ shall be used to separate long-running background work from interactive API requests.</w:t>
      </w:r>
    </w:p>
    <w:p>
      <w:pPr>
        <w:pStyle w:val="ListParagraph"/>
        <w:numPr>
          <w:ilvl w:val="0"/>
          <w:numId w:val="2"/>
        </w:numPr>
        <w:spacing w:after="90" w:line="276"/>
      </w:pPr>
      <w:r>
        <w:t xml:space="preserve">A Redis-compatible cache shall be used only for workloads where temporary state or caching is appropriate; it shall not become the authoritative store for police records.</w:t>
      </w:r>
    </w:p>
    <w:p>
      <w:pPr>
        <w:pStyle w:val="ListParagraph"/>
        <w:numPr>
          <w:ilvl w:val="0"/>
          <w:numId w:val="2"/>
        </w:numPr>
        <w:spacing w:after="90" w:line="276"/>
      </w:pPr>
      <w:r>
        <w:t xml:space="preserve">Existing official report templates and business definitions remain authoritative and must not be replaced by ad-hoc reporting functionality.</w:t>
      </w:r>
    </w:p>
    <w:p>
      <w:pPr>
        <w:pStyle w:val="ListParagraph"/>
        <w:numPr>
          <w:ilvl w:val="0"/>
          <w:numId w:val="2"/>
        </w:numPr>
        <w:spacing w:after="90" w:line="276"/>
      </w:pPr>
      <w:r>
        <w:t xml:space="preserve">All reporting and analytics shall respect existing jurisdiction, role and sensitive-field authorization.</w:t>
      </w:r>
    </w:p>
    <w:p>
      <w:pPr>
        <w:pStyle w:val="ListParagraph"/>
        <w:numPr>
          <w:ilvl w:val="0"/>
          <w:numId w:val="2"/>
        </w:numPr>
        <w:spacing w:after="90" w:line="276"/>
      </w:pPr>
      <w:r>
        <w:t xml:space="preserve">Infrastructure sizing shall be validated through performance/load testing on the actual Windows Server target before production acceptance.</w:t>
      </w:r>
    </w:p>
    <w:p>
      <w:pPr>
        <w:pStyle w:val="ListParagraph"/>
        <w:numPr>
          <w:ilvl w:val="0"/>
          <w:numId w:val="2"/>
        </w:numPr>
        <w:spacing w:after="90" w:line="276"/>
      </w:pPr>
      <w:r>
        <w:t xml:space="preserve">Where a Linux-only dependency has no supported Windows equivalent (see Sections 6.4, 6.6, 10 and 12), that specific component — and only that component — may be isolated on an approved Linux VM or container if Police IT permits a mixed-platform estate; this is the exception, not the default.</w:t>
      </w:r>
    </w:p>
    <w:p>
      <w:pPr>
        <w:pStyle w:val="Heading1"/>
        <w:spacing w:after="160" w:before="360"/>
      </w:pPr>
      <w:r>
        <w:t xml:space="preserve">3. Production Workload and Capacity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vAlign w:val="center"/>
          </w:tcPr>
          <w:p>
            <w:r>
              <w:rPr>
                <w:b/>
                <w:bCs/>
                <w:color w:val="FFFFFF"/>
                <w:sz w:val="20"/>
                <w:szCs w:val="20"/>
              </w:rPr>
              <w:t xml:space="preserve">Metric</w:t>
            </w:r>
          </w:p>
        </w:tc>
        <w:tc>
          <w:tcPr>
            <w:tcW w:type="dxa" w:w="59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vAlign w:val="center"/>
          </w:tcPr>
          <w:p>
            <w:r>
              <w:rPr>
                <w:b/>
                <w:bCs/>
                <w:color w:val="FFFFFF"/>
                <w:sz w:val="20"/>
                <w:szCs w:val="20"/>
              </w:rPr>
              <w:t xml:space="preserve">Production planning baseline</w:t>
            </w:r>
          </w:p>
        </w:tc>
      </w:tr>
      <w:tr>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Registered users</w:t>
            </w:r>
          </w:p>
        </w:tc>
        <w:tc>
          <w:tcPr>
            <w:tcW w:type="dxa" w:w="59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 2,300</w:t>
            </w:r>
          </w:p>
        </w:tc>
      </w:tr>
      <w:tr>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Average concurrent users</w:t>
            </w:r>
          </w:p>
        </w:tc>
        <w:tc>
          <w:tcPr>
            <w:tcW w:type="dxa" w:w="59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100–150</w:t>
            </w:r>
          </w:p>
        </w:tc>
      </w:tr>
      <w:tr>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Peak concurrent users</w:t>
            </w:r>
          </w:p>
        </w:tc>
        <w:tc>
          <w:tcPr>
            <w:tcW w:type="dxa" w:w="59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460–500</w:t>
            </w:r>
          </w:p>
        </w:tc>
      </w:tr>
      <w:tr>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Peak API load</w:t>
            </w:r>
          </w:p>
        </w:tc>
        <w:tc>
          <w:tcPr>
            <w:tcW w:type="dxa" w:w="59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50–100 requests/second</w:t>
            </w:r>
          </w:p>
        </w:tc>
      </w:tr>
      <w:tr>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New top-level records/year</w:t>
            </w:r>
          </w:p>
        </w:tc>
        <w:tc>
          <w:tcPr>
            <w:tcW w:type="dxa" w:w="59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 1.92 million</w:t>
            </w:r>
          </w:p>
        </w:tc>
      </w:tr>
      <w:tr>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5-year cumulative top-level records</w:t>
            </w:r>
          </w:p>
        </w:tc>
        <w:tc>
          <w:tcPr>
            <w:tcW w:type="dxa" w:w="59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 9.6 million</w:t>
            </w:r>
          </w:p>
        </w:tc>
      </w:tr>
      <w:tr>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10-year cumulative top-level records</w:t>
            </w:r>
          </w:p>
        </w:tc>
        <w:tc>
          <w:tcPr>
            <w:tcW w:type="dxa" w:w="59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30 million+ under documented 10% annual growth assumption</w:t>
            </w:r>
          </w:p>
        </w:tc>
      </w:tr>
      <w:tr>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Retention</w:t>
            </w:r>
          </w:p>
        </w:tc>
        <w:tc>
          <w:tcPr>
            <w:tcW w:type="dxa" w:w="59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Historical records must not be routinely deleted; legal archival policy to be confirmed</w:t>
            </w:r>
          </w:p>
        </w:tc>
      </w:tr>
      <w:tr>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Deployment</w:t>
            </w:r>
          </w:p>
        </w:tc>
        <w:tc>
          <w:tcPr>
            <w:tcW w:type="dxa" w:w="59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On-premises, Windows Server</w:t>
            </w:r>
          </w:p>
        </w:tc>
      </w:tr>
      <w:tr>
        <w:tc>
          <w:tcPr>
            <w:tcW w:type="dxa" w:w="3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Availability</w:t>
            </w:r>
          </w:p>
        </w:tc>
        <w:tc>
          <w:tcPr>
            <w:tcW w:type="dxa" w:w="59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HA required; active-passive acceptable baseline; planned maintenance windows acceptable</w:t>
            </w:r>
          </w:p>
        </w:tc>
      </w:tr>
    </w:tbl>
    <w:p>
      <w:pPr>
        <w:spacing w:after="160" w:line="276"/>
      </w:pPr>
      <w:r>
        <w:t xml:space="preserve">The workload figures are planning baselines rather than guarantees of a particular hardware configuration. The original infrastructure assessment also models approximately 1.925 million annual records across FIRs, Arrests, PCR calls and Missing/UIDB cases, with approximately 5,270 records/day, 15,800 write operations/day and 316,000 read queries/day at Delhi-wide scale. Peak periods include shift handover and end-of-day closure, when district workloads occur simultaneously.</w:t>
      </w:r>
    </w:p>
    <w:p>
      <w:pPr>
        <w:pStyle w:val="Heading1"/>
        <w:spacing w:after="160" w:before="360"/>
      </w:pPr>
      <w:r>
        <w:t xml:space="preserve">4. Data Growth and Storage Requirements</w:t>
      </w:r>
    </w:p>
    <w:p>
      <w:pPr>
        <w:spacing w:after="160" w:line="276"/>
      </w:pPr>
      <w:r>
        <w:t xml:space="preserve">Top-level record counts do not represent the actual database footprint. Each operational record can generate related persons, acts/sections, properties, locations, revisions, audit entries, workflow records and generated reports. Storage therefore needs to be planned for both structured data and binary/document workloads, using NTFS volumes sized and provisioned according to the Police IT Windows storage standard.</w:t>
      </w:r>
    </w:p>
    <w:p>
      <w:pPr>
        <w:pStyle w:val="ListParagraph"/>
        <w:numPr>
          <w:ilvl w:val="0"/>
          <w:numId w:val="2"/>
        </w:numPr>
        <w:spacing w:after="90" w:line="276"/>
      </w:pPr>
      <w:r>
        <w:t xml:space="preserve">Provision capacity for approximately 1.92 million new top-level records every year.</w:t>
      </w:r>
    </w:p>
    <w:p>
      <w:pPr>
        <w:pStyle w:val="ListParagraph"/>
        <w:numPr>
          <w:ilvl w:val="0"/>
          <w:numId w:val="2"/>
        </w:numPr>
        <w:spacing w:after="90" w:line="276"/>
      </w:pPr>
      <w:r>
        <w:t xml:space="preserve">Plan for approximately 9.6 million top-level records over five years.</w:t>
      </w:r>
    </w:p>
    <w:p>
      <w:pPr>
        <w:pStyle w:val="ListParagraph"/>
        <w:numPr>
          <w:ilvl w:val="0"/>
          <w:numId w:val="2"/>
        </w:numPr>
        <w:spacing w:after="90" w:line="276"/>
      </w:pPr>
      <w:r>
        <w:t xml:space="preserve">Plan for 30 million+ top-level records over ten years under the documented growth assumption.</w:t>
      </w:r>
    </w:p>
    <w:p>
      <w:pPr>
        <w:pStyle w:val="ListParagraph"/>
        <w:numPr>
          <w:ilvl w:val="0"/>
          <w:numId w:val="2"/>
        </w:numPr>
        <w:spacing w:after="90" w:line="276"/>
      </w:pPr>
      <w:r>
        <w:t xml:space="preserve">Include PostgreSQL data, indexes, WAL, temporary tables, autovacuum headroom and backup working space, all on NTFS volumes with 64 KB allocation unit size, which Microsoft recommends for SQL-type workloads with large sequential I/O.</w:t>
      </w:r>
    </w:p>
    <w:p>
      <w:pPr>
        <w:pStyle w:val="ListParagraph"/>
        <w:numPr>
          <w:ilvl w:val="0"/>
          <w:numId w:val="2"/>
        </w:numPr>
        <w:spacing w:after="90" w:line="276"/>
      </w:pPr>
      <w:r>
        <w:t xml:space="preserve">Provide durable object/document storage for generated reports — a Windows file server (SMB share) with DFS Namespaces/Replication for redundancy, or an S3-compatible on-premises object store if Police IT already operates one.</w:t>
      </w:r>
    </w:p>
    <w:p>
      <w:pPr>
        <w:pStyle w:val="ListParagraph"/>
        <w:numPr>
          <w:ilvl w:val="0"/>
          <w:numId w:val="2"/>
        </w:numPr>
        <w:spacing w:after="90" w:line="276"/>
      </w:pPr>
      <w:r>
        <w:t xml:space="preserve">Provide an expansion mechanism because historical records are not expected to be routinely deleted.</w:t>
      </w:r>
    </w:p>
    <w:p>
      <w:pPr>
        <w:pStyle w:val="ListParagraph"/>
        <w:numPr>
          <w:ilvl w:val="0"/>
          <w:numId w:val="2"/>
        </w:numPr>
        <w:spacing w:after="90" w:line="276"/>
      </w:pPr>
      <w:r>
        <w:t xml:space="preserve">Keep database storage and binary/object storage logically separate where practical so large generated report files do not compete with transactional database I/O.</w:t>
      </w:r>
    </w:p>
    <w:p>
      <w:pPr>
        <w:spacing w:after="160" w:line="276"/>
      </w:pPr>
      <w:r>
        <w:t>The existing city-wide sizing model estimates roughly 231.5 GB of five-year PostgreSQL data under its stated assumptions. Because PHAROS has no inbound user file uploads (see Section 22), durable storage is required only for structured data and transient generated report files (Excel/PDF). Rather than provisioning 5 TB of object storage, a provisioned starting point of 500 GB high-performance database storage per HA database node and a 250 GB shared SMB report storage volume (with automated 30-day retention purge policies) is recommended as a realistic, cost-effective storage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40"/>
              <w:left w:type="dxa" w:w="160"/>
              <w:bottom w:type="dxa" w:w="140"/>
              <w:right w:type="dxa" w:w="160"/>
            </w:tcMar>
          </w:tcPr>
          <w:p>
            <w:pPr>
              <w:spacing w:after="60"/>
            </w:pPr>
            <w:r>
              <w:rPr>
                <w:b/>
                <w:bCs/>
              </w:rPr>
              <w:t xml:space="preserve">The object-storage figure must be recomputed: PHAROS forms take no media input</w:t>
            </w:r>
          </w:p>
          <w:p>
            <w:pPr>
              <w:spacing w:after="0"/>
            </w:pPr>
            <w:r>
              <w:t xml:space="preserve">PHAROS forms currently accept no photographs, videos, scanned evidence, or any other user-uploaded file (Section 22 confirms this: there is no attach/upload capability today). That means the object-storage pool has exactly one source of files: report PDFs and Excel exports that the application itself generates in the background (Section 7.3), not material officers upload. The 3.86 TB / 5 TB figures above were carried over from the original citywide assessment, which modeled binary/document storage on assumptions that included attachment and evidence-file volume — an input PHAROS does not currently have. Applied to PHAROS as it actually exists, those figures substantially overstate the real requirement. A generated-reports-only estimate, using ≈ 1.92 million new records/year and assuming on the order of 1–2 generated documents per record at a few hundred KB each (these are formatted text/table PDFs and Excel exports, not scanned images, so file sizes stay small), points to a footprint in the hundreds of GB to low single-digit TB accumulated over several years — not multiple terabytes per year. Size the object-storage tier from this generated-reports-only basis (reflected in Section 16), and confirm it against actual report volume and file size once pilot telemetry is available (Section 18). If a future phase adds media or evidence upload, that is a new storage, bandwidth, security and backup baseline to be scoped separately — it must not be pre-provisioned into this one on the assumption it is coming.</w:t>
            </w:r>
          </w:p>
        </w:tc>
      </w:tr>
    </w:tbl>
    <w:p>
      <w:pPr>
        <w:pStyle w:val="Heading1"/>
        <w:spacing w:after="160" w:before="360"/>
      </w:pPr>
      <w:r>
        <w:t xml:space="preserve">5. Logical Technical Architecture</w:t>
      </w:r>
    </w:p>
    <w:p>
      <w:pPr>
        <w:spacing w:after="160" w:line="276"/>
      </w:pPr>
      <w:r>
        <w:t xml:space="preserve">The following is the logical architecture that IT should use as the basis for infrastructure design. It defines service responsibilities without requiring a specific physical topology, while naming the Windows-native mechanism at each hop.</w:t>
      </w:r>
    </w:p>
    <w:p>
      <w:pPr>
        <w:pStyle w:val="ListParagraph"/>
        <w:numPr>
          <w:ilvl w:val="0"/>
          <w:numId w:val="2"/>
        </w:numPr>
        <w:spacing w:after="90" w:line="276"/>
      </w:pPr>
      <w:r>
        <w:t xml:space="preserve">User Browser → HTTPS → IIS with Application Request Routing (ARR), or the Police-approved enterprise/hardware load balancer.</w:t>
      </w:r>
    </w:p>
    <w:p>
      <w:pPr>
        <w:pStyle w:val="ListParagraph"/>
        <w:numPr>
          <w:ilvl w:val="0"/>
          <w:numId w:val="2"/>
        </w:numPr>
        <w:spacing w:after="90" w:line="276"/>
      </w:pPr>
      <w:r>
        <w:t xml:space="preserve">Reverse Proxy → Node.js application/API tier, running as native Windows Services.</w:t>
      </w:r>
    </w:p>
    <w:p>
      <w:pPr>
        <w:pStyle w:val="ListParagraph"/>
        <w:numPr>
          <w:ilvl w:val="0"/>
          <w:numId w:val="2"/>
        </w:numPr>
        <w:spacing w:after="90" w:line="276"/>
      </w:pPr>
      <w:r>
        <w:t xml:space="preserve">Node.js API → PostgreSQL for authentication context, operational records, master data, workflow state, reporting metadata and transactional operations.</w:t>
      </w:r>
    </w:p>
    <w:p>
      <w:pPr>
        <w:pStyle w:val="ListParagraph"/>
        <w:numPr>
          <w:ilvl w:val="0"/>
          <w:numId w:val="2"/>
        </w:numPr>
        <w:spacing w:after="90" w:line="276"/>
      </w:pPr>
      <w:r>
        <w:t xml:space="preserve">Node.js API → Memurai (Redis-compatible, Windows-native) for cache lookups, rate-limit state and other short-lived application state.</w:t>
      </w:r>
    </w:p>
    <w:p>
      <w:pPr>
        <w:pStyle w:val="ListParagraph"/>
        <w:numPr>
          <w:ilvl w:val="0"/>
          <w:numId w:val="2"/>
        </w:numPr>
        <w:spacing w:after="90" w:line="276"/>
      </w:pPr>
      <w:r>
        <w:t xml:space="preserve">Node.js API → RabbitMQ (native Windows service) for asynchronous jobs and events.</w:t>
      </w:r>
    </w:p>
    <w:p>
      <w:pPr>
        <w:pStyle w:val="ListParagraph"/>
        <w:numPr>
          <w:ilvl w:val="0"/>
          <w:numId w:val="2"/>
        </w:numPr>
        <w:spacing w:after="90" w:line="276"/>
      </w:pPr>
      <w:r>
        <w:t xml:space="preserve">RabbitMQ → Python/report workers for long-running Excel/PDF generation, compilation and other background processing.</w:t>
      </w:r>
    </w:p>
    <w:p>
      <w:pPr>
        <w:pStyle w:val="ListParagraph"/>
        <w:numPr>
          <w:ilvl w:val="0"/>
          <w:numId w:val="2"/>
        </w:numPr>
        <w:spacing w:after="90" w:line="276"/>
      </w:pPr>
      <w:r>
        <w:t xml:space="preserve">Application/Worker services → shared durable report/document storage (SMB share or object store) when multiple application or worker nodes are deployed.</w:t>
      </w:r>
    </w:p>
    <w:p>
      <w:pPr>
        <w:pStyle w:val="ListParagraph"/>
        <w:numPr>
          <w:ilvl w:val="0"/>
          <w:numId w:val="2"/>
        </w:numPr>
        <w:spacing w:after="90" w:line="276"/>
      </w:pPr>
      <w:r>
        <w:t xml:space="preserve">PostgreSQL → standby/replica according to the approved HA and DR architecture (see Section 6.4 and Section 10 for the realistic Windows-native options).</w:t>
      </w:r>
    </w:p>
    <w:p>
      <w:pPr>
        <w:pStyle w:val="ListParagraph"/>
        <w:numPr>
          <w:ilvl w:val="0"/>
          <w:numId w:val="2"/>
        </w:numPr>
        <w:spacing w:after="90" w:line="276"/>
      </w:pPr>
      <w:r>
        <w:t xml:space="preserve">All service tiers → Windows Event Log, Performance Counters and centralized monitoring/logging according to Police IT standards.</w:t>
      </w:r>
    </w:p>
    <w:p>
      <w:pPr>
        <w:pStyle w:val="Heading1"/>
        <w:spacing w:after="160" w:before="360"/>
      </w:pPr>
      <w:r>
        <w:t xml:space="preserve">6. Application and Service Components</w:t>
      </w:r>
    </w:p>
    <w:p>
      <w:pPr>
        <w:pStyle w:val="Heading2"/>
        <w:spacing w:after="120" w:before="260"/>
      </w:pPr>
      <w:r>
        <w:t xml:space="preserve">6.1 Frontend / User Access</w:t>
      </w:r>
    </w:p>
    <w:p>
      <w:pPr>
        <w:spacing w:after="160" w:line="276"/>
      </w:pPr>
      <w:r>
        <w:t xml:space="preserve">Users interact with PHAROS through an approved browser over the Police network. The frontend is responsible for forms, dashboards, searches, reporting controls, workflow actions and report downloads; it is not responsible for enforcing security by itself.</w:t>
      </w:r>
    </w:p>
    <w:p>
      <w:pPr>
        <w:pStyle w:val="ListParagraph"/>
        <w:numPr>
          <w:ilvl w:val="0"/>
          <w:numId w:val="2"/>
        </w:numPr>
        <w:spacing w:after="90" w:line="276"/>
      </w:pPr>
      <w:r>
        <w:t xml:space="preserve">All access shall use HTTPS.</w:t>
      </w:r>
    </w:p>
    <w:p>
      <w:pPr>
        <w:pStyle w:val="ListParagraph"/>
        <w:numPr>
          <w:ilvl w:val="0"/>
          <w:numId w:val="2"/>
        </w:numPr>
        <w:spacing w:after="90" w:line="276"/>
      </w:pPr>
      <w:r>
        <w:t xml:space="preserve">Authentication shall integrate with the approved PHAROS identity mechanism and, where required, Active Directory / Police enterprise identity services.</w:t>
      </w:r>
    </w:p>
    <w:p>
      <w:pPr>
        <w:pStyle w:val="ListParagraph"/>
        <w:numPr>
          <w:ilvl w:val="0"/>
          <w:numId w:val="2"/>
        </w:numPr>
        <w:spacing w:after="90" w:line="276"/>
      </w:pPr>
      <w:r>
        <w:t xml:space="preserve">Authorization shall be enforced by the backend, not trusted solely to frontend controls.</w:t>
      </w:r>
    </w:p>
    <w:p>
      <w:pPr>
        <w:pStyle w:val="ListParagraph"/>
        <w:numPr>
          <w:ilvl w:val="0"/>
          <w:numId w:val="2"/>
        </w:numPr>
        <w:spacing w:after="90" w:line="276"/>
      </w:pPr>
      <w:r>
        <w:t xml:space="preserve">Users shall receive only records, fields and actions permitted by their role and jurisdiction.</w:t>
      </w:r>
    </w:p>
    <w:p>
      <w:pPr>
        <w:pStyle w:val="ListParagraph"/>
        <w:numPr>
          <w:ilvl w:val="0"/>
          <w:numId w:val="2"/>
        </w:numPr>
        <w:spacing w:after="90" w:line="276"/>
      </w:pPr>
      <w:r>
        <w:t xml:space="preserve">Large report generation shall not require the browser to hold an open request while server-side processing continues.</w:t>
      </w:r>
    </w:p>
    <w:p>
      <w:pPr>
        <w:pStyle w:val="Heading2"/>
        <w:spacing w:after="120" w:before="260"/>
      </w:pPr>
      <w:r>
        <w:t xml:space="preserve">6.2 Reverse Proxy and Load Balancing</w:t>
      </w:r>
    </w:p>
    <w:p>
      <w:pPr>
        <w:spacing w:after="160" w:line="276"/>
      </w:pPr>
      <w:r>
        <w:t xml:space="preserve">Nginx's own documentation states that its Windows build is not fully featured and is not recommended for production use; it lacks several performance and process-model features present in the Linux/Unix build. For a Windows Server estate, the reverse-proxy/load-balancing tier should therefore use a genuinely Windows-native or enterprise option rather than nginx-for-Windows:</w:t>
      </w:r>
    </w:p>
    <w:p>
      <w:pPr>
        <w:pStyle w:val="ListParagraph"/>
        <w:numPr>
          <w:ilvl w:val="0"/>
          <w:numId w:val="2"/>
        </w:numPr>
        <w:spacing w:after="90" w:line="276"/>
      </w:pPr>
      <w:r>
        <w:t xml:space="preserve">Primary option: Internet Information Services (IIS) with the Application Request Routing (ARR) and URL Rewrite modules, which provide TLS termination, health-probe-based routing to multiple Node.js application nodes, connection limits and request/response size policies — all as first-class, Microsoft-supported Windows Server roles.</w:t>
      </w:r>
    </w:p>
    <w:p>
      <w:pPr>
        <w:pStyle w:val="ListParagraph"/>
        <w:numPr>
          <w:ilvl w:val="0"/>
          <w:numId w:val="2"/>
        </w:numPr>
        <w:spacing w:after="90" w:line="276"/>
      </w:pPr>
      <w:r>
        <w:t xml:space="preserve">Alternative: the Police-approved enterprise or hardware load balancer (for example an F5, Citrix ADC, or an existing network-team appliance), placed in front of the application tier; this is common in Indian government data centres and keeps TLS/HA concerns off the application nodes entirely.</w:t>
      </w:r>
    </w:p>
    <w:p>
      <w:pPr>
        <w:pStyle w:val="ListParagraph"/>
        <w:numPr>
          <w:ilvl w:val="0"/>
          <w:numId w:val="2"/>
        </w:numPr>
        <w:spacing w:after="90" w:line="276"/>
      </w:pPr>
      <w:r>
        <w:t xml:space="preserve">Do not deploy nginx's Windows binary as the production reverse proxy; if Police IT has an existing Linux-based nginx/HAProxy standard, that specific tier may be the one component isolated on an approved Linux VM per the exception noted in Section 2.</w:t>
      </w:r>
    </w:p>
    <w:p>
      <w:pPr>
        <w:pStyle w:val="ListParagraph"/>
        <w:numPr>
          <w:ilvl w:val="0"/>
          <w:numId w:val="2"/>
        </w:numPr>
        <w:spacing w:after="90" w:line="276"/>
      </w:pPr>
      <w:r>
        <w:t xml:space="preserve">Provide request-size, timeout and connection policies appropriate for report downloads and normal form submissions; PHAROS accepts no file/attachment uploads from users, so the reverse proxy does not need to be sized for large inbound file transfers.</w:t>
      </w:r>
    </w:p>
    <w:p>
      <w:pPr>
        <w:pStyle w:val="ListParagraph"/>
        <w:numPr>
          <w:ilvl w:val="0"/>
          <w:numId w:val="2"/>
        </w:numPr>
        <w:spacing w:after="90" w:line="276"/>
      </w:pPr>
      <w:r>
        <w:t xml:space="preserve">Support health checks and controlled failover where multiple application nodes are deployed.</w:t>
      </w:r>
    </w:p>
    <w:p>
      <w:pPr>
        <w:pStyle w:val="ListParagraph"/>
        <w:numPr>
          <w:ilvl w:val="0"/>
          <w:numId w:val="2"/>
        </w:numPr>
        <w:spacing w:after="90" w:line="276"/>
      </w:pPr>
      <w:r>
        <w:t xml:space="preserve">Keep administrative interfaces (IIS Manager, ARR configuration) and internal service ports inaccessible from ordinary user networks.</w:t>
      </w:r>
    </w:p>
    <w:p>
      <w:pPr>
        <w:pStyle w:val="Heading2"/>
        <w:spacing w:after="120" w:before="260"/>
      </w:pPr>
      <w:r>
        <w:t xml:space="preserve">6.3 Node.js Application Tier</w:t>
      </w:r>
    </w:p>
    <w:p>
      <w:pPr>
        <w:spacing w:after="160" w:line="276"/>
      </w:pPr>
      <w:r>
        <w:t xml:space="preserve">PM2's own maintainers describe it as intended mainly for Linux servers: it has no built-in Windows service integration, and the community packages that used to wrap it as a Windows Service (pm2-windows-service, pm2-windows-startup) are unmaintained. Rather than fight that gap, the application tier should use a supervision mechanism that is actually native to Windows Server:</w:t>
      </w:r>
    </w:p>
    <w:p>
      <w:pPr>
        <w:pStyle w:val="ListParagraph"/>
        <w:numPr>
          <w:ilvl w:val="0"/>
          <w:numId w:val="2"/>
        </w:numPr>
        <w:spacing w:after="90" w:line="276"/>
      </w:pPr>
      <w:r>
        <w:t xml:space="preserve">Run each Node.js process as a native Windows Service using NSSM (Non-Sucking Service Manager) or WinSW — both wrap node.exe directly, restart on crash, and start automatically with the OS, with no dependency on an interactive user session.</w:t>
      </w:r>
    </w:p>
    <w:p>
      <w:pPr>
        <w:pStyle w:val="ListParagraph"/>
        <w:numPr>
          <w:ilvl w:val="0"/>
          <w:numId w:val="2"/>
        </w:numPr>
        <w:spacing w:after="90" w:line="276"/>
      </w:pPr>
      <w:r>
        <w:t xml:space="preserve">Alternative for IIS-centric shops: host the API under IIS via iisnode, which lets IIS manage process lifecycle, recycling and logging for the Node.js application the same way it manages any other application pool.</w:t>
      </w:r>
    </w:p>
    <w:p>
      <w:pPr>
        <w:pStyle w:val="ListParagraph"/>
        <w:numPr>
          <w:ilvl w:val="0"/>
          <w:numId w:val="2"/>
        </w:numPr>
        <w:spacing w:after="90" w:line="276"/>
      </w:pPr>
      <w:r>
        <w:t xml:space="preserve">Use Node.js 22.x (the current Active LTS line) or the subsequently approved supported runtime; Node.js 20.x reached its LTS end-of-life in April 2026 and should not be the deployment target for a new production rollout.</w:t>
      </w:r>
    </w:p>
    <w:p>
      <w:pPr>
        <w:pStyle w:val="ListParagraph"/>
        <w:numPr>
          <w:ilvl w:val="0"/>
          <w:numId w:val="2"/>
        </w:numPr>
        <w:spacing w:after="90" w:line="276"/>
      </w:pPr>
      <w:r>
        <w:t xml:space="preserve">Keep synchronous API operations focused on validation, authorization, transactional reads/writes and job submission.</w:t>
      </w:r>
    </w:p>
    <w:p>
      <w:pPr>
        <w:pStyle w:val="ListParagraph"/>
        <w:numPr>
          <w:ilvl w:val="0"/>
          <w:numId w:val="2"/>
        </w:numPr>
        <w:spacing w:after="90" w:line="276"/>
      </w:pPr>
      <w:r>
        <w:t xml:space="preserve">Use database connection pooling and prevent background jobs from exhausting connections needed by interactive users.</w:t>
      </w:r>
    </w:p>
    <w:p>
      <w:pPr>
        <w:pStyle w:val="ListParagraph"/>
        <w:numPr>
          <w:ilvl w:val="0"/>
          <w:numId w:val="2"/>
        </w:numPr>
        <w:spacing w:after="90" w:line="276"/>
      </w:pPr>
      <w:r>
        <w:t xml:space="preserve">Expose health/readiness endpoints for IIS ARR (or the enterprise load balancer) to probe.</w:t>
      </w:r>
    </w:p>
    <w:p>
      <w:pPr>
        <w:pStyle w:val="ListParagraph"/>
        <w:numPr>
          <w:ilvl w:val="0"/>
          <w:numId w:val="2"/>
        </w:numPr>
        <w:spacing w:after="90" w:line="276"/>
      </w:pPr>
      <w:r>
        <w:t xml:space="preserve">Run multiple application processes/nodes where required to meet peak concurrency and availability targets.</w:t>
      </w:r>
    </w:p>
    <w:p>
      <w:pPr>
        <w:pStyle w:val="Heading2"/>
        <w:spacing w:after="120" w:before="260"/>
      </w:pPr>
      <w:r>
        <w:t xml:space="preserve">6.4 PostgreSQL Database</w:t>
      </w:r>
    </w:p>
    <w:p>
      <w:pPr>
        <w:spacing w:after="160" w:line="276"/>
      </w:pPr>
      <w:r>
        <w:t xml:space="preserve">PostgreSQL is the authoritative system of record and is expected to carry both transactional and analytical/reporting workloads. PostgreSQL itself has a fully supported, native Windows installer (distributed by EDB) and runs as a Windows Service with no compatibility caveats; the database engine is not the Windows risk area. The surrounding tooling ecosystem is:</w:t>
      </w:r>
    </w:p>
    <w:p>
      <w:pPr>
        <w:pStyle w:val="ListParagraph"/>
        <w:numPr>
          <w:ilvl w:val="0"/>
          <w:numId w:val="2"/>
        </w:numPr>
        <w:spacing w:after="90" w:line="276"/>
      </w:pPr>
      <w:r>
        <w:t xml:space="preserve">Use PostgreSQL 17 or 18 (the current major releases) where the PHAROS schema and extensions have been validated against them; PostgreSQL 16 remains supported and is an acceptable fallback baseline if extension or driver validation is still in progress, but IT should not standardize on it as the long-term target given the faster 18-month major-version cadence.</w:t>
      </w:r>
    </w:p>
    <w:p>
      <w:pPr>
        <w:pStyle w:val="ListParagraph"/>
        <w:numPr>
          <w:ilvl w:val="0"/>
          <w:numId w:val="2"/>
        </w:numPr>
        <w:spacing w:after="90" w:line="276"/>
      </w:pPr>
      <w:r>
        <w:t xml:space="preserve">Provide high-performance storage appropriate for transactional and reporting I/O.</w:t>
      </w:r>
    </w:p>
    <w:p>
      <w:pPr>
        <w:pStyle w:val="ListParagraph"/>
        <w:numPr>
          <w:ilvl w:val="0"/>
          <w:numId w:val="2"/>
        </w:numPr>
        <w:spacing w:after="90" w:line="276"/>
      </w:pPr>
      <w:r>
        <w:t xml:space="preserve">Use indexes appropriate to search, filtering, hierarchy and reporting workloads, including pg_trgm, btree_gin and uuid-ossp, all of which ship as standard contrib extensions in the Windows build.</w:t>
      </w:r>
    </w:p>
    <w:p>
      <w:pPr>
        <w:pStyle w:val="ListParagraph"/>
        <w:numPr>
          <w:ilvl w:val="0"/>
          <w:numId w:val="2"/>
        </w:numPr>
        <w:spacing w:after="90" w:line="276"/>
      </w:pPr>
      <w:r>
        <w:t>Connection pooling: EDB distributes an official Windows x86-64 installer for PgBouncer, making a native pooler available if required. However, for the PHAROS baseline workload (100–150 average, 460 peak concurrent users across 2–4 API nodes), Node.js native driver connection pooling (via Knex.js / pg.Pool) natively manages connection limits (&lt;100 active DB connections) without needing PgBouncer proxy overhead. PgBouncer is therefore marked as an optional component for this scale.</w:t>
      </w:r>
    </w:p>
    <w:p>
      <w:pPr>
        <w:pStyle w:val="ListParagraph"/>
        <w:numPr>
          <w:ilvl w:val="0"/>
          <w:numId w:val="2"/>
        </w:numPr>
        <w:spacing w:after="90" w:line="276"/>
      </w:pPr>
      <w:r>
        <w:t>Provide PostgreSQL native streaming replication (Primary to Hot Standby) for production High Availability. Failover orchestration should utilize lightweight Virtual IP (VIP) switching or DNS pointer redirection, avoiding complex Windows Server Failover Clustering (WSFC) shared-disk setups for database volumes.</w:t>
      </w:r>
    </w:p>
    <w:p>
      <w:pPr>
        <w:pStyle w:val="ListParagraph"/>
        <w:numPr>
          <w:ilvl w:val="0"/>
          <w:numId w:val="2"/>
        </w:numPr>
        <w:spacing w:after="90" w:line="276"/>
      </w:pPr>
      <w:r>
        <w:t xml:space="preserve">Provide point-in-time recovery through continuous WAL archiving (see Section 10 for the Windows-specific backup mechanism, since the common Linux tools pgBackRest and Barman do not ship Windows builds).</w:t>
      </w:r>
    </w:p>
    <w:p>
      <w:pPr>
        <w:pStyle w:val="ListParagraph"/>
        <w:numPr>
          <w:ilvl w:val="0"/>
          <w:numId w:val="2"/>
        </w:numPr>
        <w:spacing w:after="90" w:line="276"/>
      </w:pPr>
      <w:r>
        <w:t xml:space="preserve">Encrypt database traffic and database volumes according to Police security standards, using Windows BitLocker or an approved enterprise disk-encryption product for data at rest.</w:t>
      </w:r>
    </w:p>
    <w:p>
      <w:pPr>
        <w:pStyle w:val="ListParagraph"/>
        <w:numPr>
          <w:ilvl w:val="0"/>
          <w:numId w:val="2"/>
        </w:numPr>
        <w:spacing w:after="90" w:line="276"/>
      </w:pPr>
      <w:r>
        <w:t xml:space="preserve">Run maintenance operations such as vacuum/analyze according to workload and PostgreSQL operational practice, scheduled through Windows Task Scheduler or an enterprise job scheduler.</w:t>
      </w:r>
    </w:p>
    <w:p>
      <w:pPr>
        <w:pStyle w:val="ListParagraph"/>
        <w:numPr>
          <w:ilvl w:val="0"/>
          <w:numId w:val="2"/>
        </w:numPr>
        <w:spacing w:after="90" w:line="276"/>
      </w:pPr>
      <w:r>
        <w:t xml:space="preserve">Protect analytical queries from degrading interactive transactional performance through query design, workload isolation, scheduling or replicas where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40"/>
              <w:left w:type="dxa" w:w="160"/>
              <w:bottom w:type="dxa" w:w="140"/>
              <w:right w:type="dxa" w:w="160"/>
            </w:tcMar>
          </w:tcPr>
          <w:p>
            <w:pPr>
              <w:spacing w:after="60"/>
            </w:pPr>
            <w:r>
              <w:rPr>
                <w:b/>
                <w:bCs/>
              </w:rPr>
              <w:t xml:space="preserve">Automated failover orchestration is the one genuine Windows gap in the database tier</w:t>
            </w:r>
          </w:p>
          <w:p>
            <w:pPr>
              <w:spacing w:after="0"/>
            </w:pPr>
            <w:r>
              <w:t xml:space="preserve">Patroni and EDB's own Failover Manager (EFM) — the two most common PostgreSQL automated-failover tools — are distributed and supported only for Linux; EDB does not publish a Windows package for Failover Manager, and Patroni is built around Unix process- and signal-handling assumptions that are not realistically portable. This does not block Windows Server as the platform, but it does mean automated, unattended primary/standby promotion is not an off-the-shelf capability the way it is on Linux. Realistic options, in order of preference: (1) native PostgreSQL streaming replication plus Windows Server Failover Clustering (WSFC), using a generic service/script resource to run the promotion script and move a floating IP/DNS name on detected failure; (2) native streaming replication with a documented, tested manual failover runbook rather than automated promotion, which is an acceptable production posture given the active-passive baseline in Section 3; (3) if Police IT permits a mixed-platform estate, running only the failover-orchestration layer (Patroni plus its etcd/Consul store) on a small pair of Linux VMs while the PostgreSQL engine itself still runs on Windows nodes it manages remotely. Whichever option is chosen must be selected and tested before production acceptance (Section 18).</w:t>
            </w:r>
          </w:p>
        </w:tc>
      </w:tr>
    </w:tbl>
    <w:p>
      <w:pPr>
        <w:pStyle w:val="Heading2"/>
        <w:spacing w:after="120" w:before="260"/>
      </w:pPr>
      <w:r>
        <w:t xml:space="preserve">6.5 RabbitMQ — Asynchronous Job and Event Processing</w:t>
      </w:r>
    </w:p>
    <w:p>
      <w:pPr>
        <w:spacing w:after="160" w:line="276"/>
      </w:pPr>
      <w:r>
        <w:t xml:space="preserve">RabbitMQ has a genuinely solid, actively maintained native Windows installer and runs as a proper Windows Service — this is one of the stronger components in the Windows stack. It does, however, require its own runtime dependency to be installed and kept in step:</w:t>
      </w:r>
    </w:p>
    <w:p>
      <w:pPr>
        <w:pStyle w:val="ListParagraph"/>
        <w:numPr>
          <w:ilvl w:val="0"/>
          <w:numId w:val="2"/>
        </w:numPr>
        <w:spacing w:after="90" w:line="276"/>
      </w:pPr>
      <w:r>
        <w:t xml:space="preserve">Install a 64-bit Erlang/OTP build (matched to the RabbitMQ release's supported Erlang/OTP range) before installing RabbitMQ, and set the ERLANG_HOME environment variable; RabbitMQ will not start without a compatible Erlang runtime present.</w:t>
      </w:r>
    </w:p>
    <w:p>
      <w:pPr>
        <w:pStyle w:val="ListParagraph"/>
        <w:numPr>
          <w:ilvl w:val="0"/>
          <w:numId w:val="2"/>
        </w:numPr>
        <w:spacing w:after="90" w:line="276"/>
      </w:pPr>
      <w:r>
        <w:t xml:space="preserve">Use RabbitMQ 4.x, registered as a Windows Service via the bundled rabbitmq-service.bat, for asynchronous Excel/PDF report generation and compilation.</w:t>
      </w:r>
    </w:p>
    <w:p>
      <w:pPr>
        <w:pStyle w:val="ListParagraph"/>
        <w:numPr>
          <w:ilvl w:val="0"/>
          <w:numId w:val="2"/>
        </w:numPr>
        <w:spacing w:after="90" w:line="276"/>
      </w:pPr>
      <w:r>
        <w:t xml:space="preserve">Use RabbitMQ for record-link resolution and other deferred processing.</w:t>
      </w:r>
    </w:p>
    <w:p>
      <w:pPr>
        <w:pStyle w:val="ListParagraph"/>
        <w:numPr>
          <w:ilvl w:val="0"/>
          <w:numId w:val="2"/>
        </w:numPr>
        <w:spacing w:after="90" w:line="276"/>
      </w:pPr>
      <w:r>
        <w:t xml:space="preserve">Use RabbitMQ for notifications and other jobs that should not block interactive API requests.</w:t>
      </w:r>
    </w:p>
    <w:p>
      <w:pPr>
        <w:pStyle w:val="ListParagraph"/>
        <w:numPr>
          <w:ilvl w:val="0"/>
          <w:numId w:val="2"/>
        </w:numPr>
        <w:spacing w:after="90" w:line="276"/>
      </w:pPr>
      <w:r>
        <w:t xml:space="preserve">Use durable/persistent messaging for business-critical jobs where restart survival is required.</w:t>
      </w:r>
    </w:p>
    <w:p>
      <w:pPr>
        <w:pStyle w:val="ListParagraph"/>
        <w:numPr>
          <w:ilvl w:val="0"/>
          <w:numId w:val="2"/>
        </w:numPr>
        <w:spacing w:after="90" w:line="276"/>
      </w:pPr>
      <w:r>
        <w:t xml:space="preserve">Use acknowledgements only after successful processing.</w:t>
      </w:r>
    </w:p>
    <w:p>
      <w:pPr>
        <w:pStyle w:val="ListParagraph"/>
        <w:numPr>
          <w:ilvl w:val="0"/>
          <w:numId w:val="2"/>
        </w:numPr>
        <w:spacing w:after="90" w:line="276"/>
      </w:pPr>
      <w:r>
        <w:t xml:space="preserve">Implement bounded retries and dead-letter handling for repeatedly failing jobs.</w:t>
      </w:r>
    </w:p>
    <w:p>
      <w:pPr>
        <w:pStyle w:val="ListParagraph"/>
        <w:numPr>
          <w:ilvl w:val="0"/>
          <w:numId w:val="2"/>
        </w:numPr>
        <w:spacing w:after="90" w:line="276"/>
      </w:pPr>
      <w:r>
        <w:t xml:space="preserve">Use idempotent job processing so a retry does not create duplicate business effects.</w:t>
      </w:r>
    </w:p>
    <w:p>
      <w:pPr>
        <w:pStyle w:val="ListParagraph"/>
        <w:numPr>
          <w:ilvl w:val="0"/>
          <w:numId w:val="2"/>
        </w:numPr>
        <w:spacing w:after="90" w:line="276"/>
      </w:pPr>
      <w:r>
        <w:t xml:space="preserve">Use separate queues or routing patterns for materially different workloads where one job class could otherwise starve another.</w:t>
      </w:r>
    </w:p>
    <w:p>
      <w:pPr>
        <w:pStyle w:val="ListParagraph"/>
        <w:numPr>
          <w:ilvl w:val="0"/>
          <w:numId w:val="2"/>
        </w:numPr>
        <w:spacing w:after="90" w:line="276"/>
      </w:pPr>
      <w:r>
        <w:t xml:space="preserve">Monitor queue depth, oldest message age, publish rate, delivery rate, consumer utilization, retry counts and processing latency, via the RabbitMQ management plugin (enabled by default in recent releases) or an exported Prometheus endpoint.</w:t>
      </w:r>
    </w:p>
    <w:p>
      <w:pPr>
        <w:pStyle w:val="ListParagraph"/>
        <w:numPr>
          <w:ilvl w:val="0"/>
          <w:numId w:val="2"/>
        </w:numPr>
        <w:spacing w:after="90" w:line="276"/>
      </w:pPr>
      <w:r>
        <w:t xml:space="preserve">Load-test broker throughput together with the actual report workers rather than benchmarking RabbitMQ in isolation.</w:t>
      </w:r>
    </w:p>
    <w:p>
      <w:pPr>
        <w:pStyle w:val="ListParagraph"/>
        <w:numPr>
          <w:ilvl w:val="0"/>
          <w:numId w:val="2"/>
        </w:numPr>
        <w:spacing w:after="90" w:line="276"/>
      </w:pPr>
      <w:r>
        <w:t xml:space="preserve">Synchronize the Erlang cookie file between the service account running RabbitMQ and any account used to run rabbitmqctl.bat interactively, which is a common source of "CLI can't reach the node" issues on Windows specifically.</w:t>
      </w:r>
    </w:p>
    <w:p>
      <w:pPr>
        <w:spacing w:after="200" w:before="60" w:line="276"/>
      </w:pPr>
      <w:r>
        <w:rPr>
          <w:i/>
          <w:iCs/>
          <w:color w:val="555555"/>
        </w:rPr>
        <w:t xml:space="preserve">Initial infrastructure discussion point: approximately 4 vCPU and 8 GB RAM for the RabbitMQ service. This is not a final procurement requirement. Police IT should validate CPU, memory, storage, persistence, node count and HA topology using measured job rates and peak report-generation behavior.</w:t>
      </w:r>
    </w:p>
    <w:p>
      <w:pPr>
        <w:pStyle w:val="Heading2"/>
        <w:spacing w:after="120" w:before="260"/>
      </w:pPr>
      <w:r>
        <w:t xml:space="preserve">6.6 Redis-Compatible Cache and Short-Lived State</w:t>
      </w:r>
    </w:p>
    <w:p>
      <w:pPr>
        <w:spacing w:after="160" w:line="276"/>
      </w:pPr>
      <w:r>
        <w:t xml:space="preserve">Community Redis itself has no officially supported Windows build — the original Microsoft Open Tech port was discontinued years ago. As of 2025, Redis Inc. has an official partnership with Memurai, making Memurai Enterprise Edition the vendor-endorsed, fully compatible, natively-Windows Redis port — not a workaround, but the actual supported path Redis itself now points Windows customers toward. This replaces the earlier, vaguer guidance to "evaluate a Linux VM if Redis isn't suitable on Windows":</w:t>
      </w:r>
    </w:p>
    <w:p>
      <w:pPr>
        <w:pStyle w:val="ListParagraph"/>
        <w:numPr>
          <w:ilvl w:val="0"/>
          <w:numId w:val="2"/>
        </w:numPr>
        <w:spacing w:after="90" w:line="276"/>
      </w:pPr>
      <w:r>
        <w:t xml:space="preserve">Install Memurai Enterprise Edition as the Windows-native, Redis-7-compatible service; it runs as a proper Windows Service, needs no WSL2 or Docker layer, and is licensed for production use with unlimited uptime, connections and RAM.</w:t>
      </w:r>
    </w:p>
    <w:p>
      <w:pPr>
        <w:pStyle w:val="ListParagraph"/>
        <w:numPr>
          <w:ilvl w:val="0"/>
          <w:numId w:val="2"/>
        </w:numPr>
        <w:spacing w:after="90" w:line="276"/>
      </w:pPr>
      <w:r>
        <w:t xml:space="preserve">Use it for query/result caching where the data is safe to cache and has an explicit invalidation/TTL strategy.</w:t>
      </w:r>
    </w:p>
    <w:p>
      <w:pPr>
        <w:pStyle w:val="ListParagraph"/>
        <w:numPr>
          <w:ilvl w:val="0"/>
          <w:numId w:val="2"/>
        </w:numPr>
        <w:spacing w:after="90" w:line="276"/>
      </w:pPr>
      <w:r>
        <w:t xml:space="preserve">Use it for request-rate limiting and throttling state.</w:t>
      </w:r>
    </w:p>
    <w:p>
      <w:pPr>
        <w:pStyle w:val="ListParagraph"/>
        <w:numPr>
          <w:ilvl w:val="0"/>
          <w:numId w:val="2"/>
        </w:numPr>
        <w:spacing w:after="90" w:line="276"/>
      </w:pPr>
      <w:r>
        <w:t xml:space="preserve">Use it for short-lived session/token-related state where required by the selected authentication architecture.</w:t>
      </w:r>
    </w:p>
    <w:p>
      <w:pPr>
        <w:pStyle w:val="ListParagraph"/>
        <w:numPr>
          <w:ilvl w:val="0"/>
          <w:numId w:val="2"/>
        </w:numPr>
        <w:spacing w:after="90" w:line="276"/>
      </w:pPr>
      <w:r>
        <w:t xml:space="preserve">Use it for other temporary coordination or application state where PostgreSQL remains authoritative.</w:t>
      </w:r>
    </w:p>
    <w:p>
      <w:pPr>
        <w:pStyle w:val="ListParagraph"/>
        <w:numPr>
          <w:ilvl w:val="0"/>
          <w:numId w:val="2"/>
        </w:numPr>
        <w:spacing w:after="90" w:line="276"/>
      </w:pPr>
      <w:r>
        <w:t xml:space="preserve">Define TTLs and eviction policies for every cache class.</w:t>
      </w:r>
    </w:p>
    <w:p>
      <w:pPr>
        <w:pStyle w:val="ListParagraph"/>
        <w:numPr>
          <w:ilvl w:val="0"/>
          <w:numId w:val="2"/>
        </w:numPr>
        <w:spacing w:after="90" w:line="276"/>
      </w:pPr>
      <w:r>
        <w:t xml:space="preserve">Prevent sensitive cached data from remaining longer than required.</w:t>
      </w:r>
    </w:p>
    <w:p>
      <w:pPr>
        <w:pStyle w:val="ListParagraph"/>
        <w:numPr>
          <w:ilvl w:val="0"/>
          <w:numId w:val="2"/>
        </w:numPr>
        <w:spacing w:after="90" w:line="276"/>
      </w:pPr>
      <w:r>
        <w:t xml:space="preserve">Monitor memory utilization, hit/miss ratio, evictions, latency and availability.</w:t>
      </w:r>
    </w:p>
    <w:p>
      <w:pPr>
        <w:pStyle w:val="ListParagraph"/>
        <w:numPr>
          <w:ilvl w:val="0"/>
          <w:numId w:val="2"/>
        </w:numPr>
        <w:spacing w:after="90" w:line="276"/>
      </w:pPr>
      <w:r>
        <w:t xml:space="preserve">Design the application to continue safely after cache loss or a Memurai service restart.</w:t>
      </w:r>
    </w:p>
    <w:p>
      <w:pPr>
        <w:pStyle w:val="ListParagraph"/>
        <w:numPr>
          <w:ilvl w:val="0"/>
          <w:numId w:val="2"/>
        </w:numPr>
        <w:spacing w:after="90" w:line="276"/>
      </w:pPr>
      <w:r>
        <w:t xml:space="preserve">Use Memurai's built-in replication where required by the final availability design; a durable authoritative record must never depend on this tier.</w:t>
      </w:r>
    </w:p>
    <w:p>
      <w:pPr>
        <w:spacing w:after="200" w:before="60" w:line="276"/>
      </w:pPr>
      <w:r>
        <w:t>Initial infrastructure discussion point: approximately 2–4 vCPU and 4–8 GB RAM. Memurai Developer Edition or Node in-process memory caching is sufficient for initial pilot/UAT deployments (&lt;500 peak users), with Memurai Enterprise Edition recommended for production HA environments requiring multi-node cache replication.</w:t>
      </w:r>
    </w:p>
    <w:p>
      <w:pPr>
        <w:pStyle w:val="Heading1"/>
        <w:spacing w:after="160" w:before="360"/>
      </w:pPr>
      <w:r>
        <w:t xml:space="preserve">7. Detailed Usage and Workload Workflows</w:t>
      </w:r>
    </w:p>
    <w:p>
      <w:pPr>
        <w:spacing w:after="160" w:line="276"/>
      </w:pPr>
      <w:r>
        <w:t xml:space="preserve">The workflows below describe how the services are expected to be used in production. They are included so IT can understand why each infrastructure component exists and what type of load it will receive. They are unchanged by the choice of operating system.</w:t>
      </w:r>
    </w:p>
    <w:p>
      <w:pPr>
        <w:pStyle w:val="Heading2"/>
        <w:spacing w:after="120" w:before="260"/>
      </w:pPr>
      <w:r>
        <w:t xml:space="preserve">7.1 Interactive User Workflow</w:t>
      </w:r>
    </w:p>
    <w:p>
      <w:pPr>
        <w:pStyle w:val="ListParagraph"/>
        <w:numPr>
          <w:ilvl w:val="0"/>
          <w:numId w:val="2"/>
        </w:numPr>
        <w:spacing w:after="90" w:line="276"/>
      </w:pPr>
      <w:r>
        <w:t xml:space="preserve">User opens PHAROS through the approved Police network.</w:t>
      </w:r>
    </w:p>
    <w:p>
      <w:pPr>
        <w:pStyle w:val="ListParagraph"/>
        <w:numPr>
          <w:ilvl w:val="0"/>
          <w:numId w:val="2"/>
        </w:numPr>
        <w:spacing w:after="90" w:line="276"/>
      </w:pPr>
      <w:r>
        <w:t xml:space="preserve">The reverse proxy (IIS ARR or the enterprise load balancer) terminates/validates the network-facing connection and routes the request to a healthy application process.</w:t>
      </w:r>
    </w:p>
    <w:p>
      <w:pPr>
        <w:pStyle w:val="ListParagraph"/>
        <w:numPr>
          <w:ilvl w:val="0"/>
          <w:numId w:val="2"/>
        </w:numPr>
        <w:spacing w:after="90" w:line="276"/>
      </w:pPr>
      <w:r>
        <w:t xml:space="preserve">Application authenticates the user and derives role/jurisdiction context.</w:t>
      </w:r>
    </w:p>
    <w:p>
      <w:pPr>
        <w:pStyle w:val="ListParagraph"/>
        <w:numPr>
          <w:ilvl w:val="0"/>
          <w:numId w:val="2"/>
        </w:numPr>
        <w:spacing w:after="90" w:line="276"/>
      </w:pPr>
      <w:r>
        <w:t xml:space="preserve">Backend authorization applies the user scope to every data operation.</w:t>
      </w:r>
    </w:p>
    <w:p>
      <w:pPr>
        <w:pStyle w:val="ListParagraph"/>
        <w:numPr>
          <w:ilvl w:val="0"/>
          <w:numId w:val="2"/>
        </w:numPr>
        <w:spacing w:after="90" w:line="276"/>
      </w:pPr>
      <w:r>
        <w:t xml:space="preserve">Application reads or writes PostgreSQL as the authoritative source.</w:t>
      </w:r>
    </w:p>
    <w:p>
      <w:pPr>
        <w:pStyle w:val="ListParagraph"/>
        <w:numPr>
          <w:ilvl w:val="0"/>
          <w:numId w:val="2"/>
        </w:numPr>
        <w:spacing w:after="90" w:line="276"/>
      </w:pPr>
      <w:r>
        <w:t xml:space="preserve">Memurai may serve eligible cached information or rate-limit state without becoming the source of truth.</w:t>
      </w:r>
    </w:p>
    <w:p>
      <w:pPr>
        <w:pStyle w:val="ListParagraph"/>
        <w:numPr>
          <w:ilvl w:val="0"/>
          <w:numId w:val="2"/>
        </w:numPr>
        <w:spacing w:after="90" w:line="276"/>
      </w:pPr>
      <w:r>
        <w:t xml:space="preserve">The API returns the requested result to the browser.</w:t>
      </w:r>
    </w:p>
    <w:p>
      <w:pPr>
        <w:pStyle w:val="ListParagraph"/>
        <w:numPr>
          <w:ilvl w:val="0"/>
          <w:numId w:val="2"/>
        </w:numPr>
        <w:spacing w:after="90" w:line="276"/>
      </w:pPr>
      <w:r>
        <w:t xml:space="preserve">Application logs and audit mechanisms record security- and business-relevant actions as required.</w:t>
      </w:r>
    </w:p>
    <w:p>
      <w:pPr>
        <w:pStyle w:val="Heading2"/>
        <w:spacing w:after="120" w:before="260"/>
      </w:pPr>
      <w:r>
        <w:t xml:space="preserve">7.2 FIR / Arrest / PCR / Missing / UIDB Record Workflow</w:t>
      </w:r>
    </w:p>
    <w:p>
      <w:pPr>
        <w:pStyle w:val="ListParagraph"/>
        <w:numPr>
          <w:ilvl w:val="0"/>
          <w:numId w:val="2"/>
        </w:numPr>
        <w:spacing w:after="90" w:line="276"/>
      </w:pPr>
      <w:r>
        <w:t xml:space="preserve">Authorized user enters or updates the operational record through the appropriate PHAROS form.</w:t>
      </w:r>
    </w:p>
    <w:p>
      <w:pPr>
        <w:pStyle w:val="ListParagraph"/>
        <w:numPr>
          <w:ilvl w:val="0"/>
          <w:numId w:val="2"/>
        </w:numPr>
        <w:spacing w:after="90" w:line="276"/>
      </w:pPr>
      <w:r>
        <w:t xml:space="preserve">Backend validates required fields, reference/master data and business rules.</w:t>
      </w:r>
    </w:p>
    <w:p>
      <w:pPr>
        <w:pStyle w:val="ListParagraph"/>
        <w:numPr>
          <w:ilvl w:val="0"/>
          <w:numId w:val="2"/>
        </w:numPr>
        <w:spacing w:after="90" w:line="276"/>
      </w:pPr>
      <w:r>
        <w:t xml:space="preserve">Backend applies jurisdiction and permission checks before persistence.</w:t>
      </w:r>
    </w:p>
    <w:p>
      <w:pPr>
        <w:pStyle w:val="ListParagraph"/>
        <w:numPr>
          <w:ilvl w:val="0"/>
          <w:numId w:val="2"/>
        </w:numPr>
        <w:spacing w:after="90" w:line="276"/>
      </w:pPr>
      <w:r>
        <w:t xml:space="preserve">Transactional data is written to PostgreSQL.</w:t>
      </w:r>
    </w:p>
    <w:p>
      <w:pPr>
        <w:pStyle w:val="ListParagraph"/>
        <w:numPr>
          <w:ilvl w:val="0"/>
          <w:numId w:val="2"/>
        </w:numPr>
        <w:spacing w:after="90" w:line="276"/>
      </w:pPr>
      <w:r>
        <w:t xml:space="preserve">Record revisions and audit information are retained according to the application audit design.</w:t>
      </w:r>
    </w:p>
    <w:p>
      <w:pPr>
        <w:pStyle w:val="ListParagraph"/>
        <w:numPr>
          <w:ilvl w:val="0"/>
          <w:numId w:val="2"/>
        </w:numPr>
        <w:spacing w:after="90" w:line="276"/>
      </w:pPr>
      <w:r>
        <w:t xml:space="preserve">Any non-critical, long-running follow-up work is submitted to RabbitMQ instead of delaying the interactive request.</w:t>
      </w:r>
    </w:p>
    <w:p>
      <w:pPr>
        <w:pStyle w:val="ListParagraph"/>
        <w:numPr>
          <w:ilvl w:val="0"/>
          <w:numId w:val="2"/>
        </w:numPr>
        <w:spacing w:after="90" w:line="276"/>
      </w:pPr>
      <w:r>
        <w:t xml:space="preserve">Background workers process queued tasks and persist resulting status/metadata to PostgreSQL or durable storage.</w:t>
      </w:r>
    </w:p>
    <w:p>
      <w:pPr>
        <w:pStyle w:val="ListParagraph"/>
        <w:numPr>
          <w:ilvl w:val="0"/>
          <w:numId w:val="2"/>
        </w:numPr>
        <w:spacing w:after="90" w:line="276"/>
      </w:pPr>
      <w:r>
        <w:t xml:space="preserve">Users can later retrieve the authoritative record and its audit/workflow state from the application.</w:t>
      </w:r>
    </w:p>
    <w:p>
      <w:pPr>
        <w:pStyle w:val="Heading2"/>
        <w:spacing w:after="120" w:before="260"/>
      </w:pPr>
      <w:r>
        <w:t xml:space="preserve">7.3 Report Generation Workflow</w:t>
      </w:r>
    </w:p>
    <w:p>
      <w:pPr>
        <w:pStyle w:val="ListParagraph"/>
        <w:numPr>
          <w:ilvl w:val="0"/>
          <w:numId w:val="2"/>
        </w:numPr>
        <w:spacing w:after="90" w:line="276"/>
      </w:pPr>
      <w:r>
        <w:t xml:space="preserve">User selects an official report, Quick Access analytical report, saved configuration or ad-hoc reporting configuration.</w:t>
      </w:r>
    </w:p>
    <w:p>
      <w:pPr>
        <w:pStyle w:val="ListParagraph"/>
        <w:numPr>
          <w:ilvl w:val="0"/>
          <w:numId w:val="2"/>
        </w:numPr>
        <w:spacing w:after="90" w:line="276"/>
      </w:pPr>
      <w:r>
        <w:t xml:space="preserve">Backend validates that the user can access the selected record types, fields, jurisdictions and sensitive data.</w:t>
      </w:r>
    </w:p>
    <w:p>
      <w:pPr>
        <w:pStyle w:val="ListParagraph"/>
        <w:numPr>
          <w:ilvl w:val="0"/>
          <w:numId w:val="2"/>
        </w:numPr>
        <w:spacing w:after="90" w:line="276"/>
      </w:pPr>
      <w:r>
        <w:t xml:space="preserve">Application builds a metadata-driven query using the approved reporting model.</w:t>
      </w:r>
    </w:p>
    <w:p>
      <w:pPr>
        <w:pStyle w:val="ListParagraph"/>
        <w:numPr>
          <w:ilvl w:val="0"/>
          <w:numId w:val="2"/>
        </w:numPr>
        <w:spacing w:after="90" w:line="276"/>
      </w:pPr>
      <w:r>
        <w:t xml:space="preserve">For small/interactive reports, the API may return the result directly when execution time and resource consumption are within configured limits.</w:t>
      </w:r>
    </w:p>
    <w:p>
      <w:pPr>
        <w:pStyle w:val="ListParagraph"/>
        <w:numPr>
          <w:ilvl w:val="0"/>
          <w:numId w:val="2"/>
        </w:numPr>
        <w:spacing w:after="90" w:line="276"/>
      </w:pPr>
      <w:r>
        <w:t xml:space="preserve">For long-running reports, the API creates a report job and publishes it to RabbitMQ.</w:t>
      </w:r>
    </w:p>
    <w:p>
      <w:pPr>
        <w:pStyle w:val="ListParagraph"/>
        <w:numPr>
          <w:ilvl w:val="0"/>
          <w:numId w:val="2"/>
        </w:numPr>
        <w:spacing w:after="90" w:line="276"/>
      </w:pPr>
      <w:r>
        <w:t xml:space="preserve">A Python/report worker consumes the job and executes the required database queries and aggregations.</w:t>
      </w:r>
    </w:p>
    <w:p>
      <w:pPr>
        <w:pStyle w:val="ListParagraph"/>
        <w:numPr>
          <w:ilvl w:val="0"/>
          <w:numId w:val="2"/>
        </w:numPr>
        <w:spacing w:after="90" w:line="276"/>
      </w:pPr>
      <w:r>
        <w:t xml:space="preserve">The worker generates Excel/PDF output using the approved libraries and templates (see Section 12 for the Windows-specific rendering notes).</w:t>
      </w:r>
    </w:p>
    <w:p>
      <w:pPr>
        <w:pStyle w:val="ListParagraph"/>
        <w:numPr>
          <w:ilvl w:val="0"/>
          <w:numId w:val="2"/>
        </w:numPr>
        <w:spacing w:after="90" w:line="276"/>
      </w:pPr>
      <w:r>
        <w:t xml:space="preserve">The output is written to durable/shared report storage when required by a multi-node deployment.</w:t>
      </w:r>
    </w:p>
    <w:p>
      <w:pPr>
        <w:pStyle w:val="ListParagraph"/>
        <w:numPr>
          <w:ilvl w:val="0"/>
          <w:numId w:val="2"/>
        </w:numPr>
        <w:spacing w:after="90" w:line="276"/>
      </w:pPr>
      <w:r>
        <w:t xml:space="preserve">The job status and output reference are persisted so the user can retrieve the completed report.</w:t>
      </w:r>
    </w:p>
    <w:p>
      <w:pPr>
        <w:pStyle w:val="ListParagraph"/>
        <w:numPr>
          <w:ilvl w:val="0"/>
          <w:numId w:val="2"/>
        </w:numPr>
        <w:spacing w:after="90" w:line="276"/>
      </w:pPr>
      <w:r>
        <w:t xml:space="preserve">Failed jobs are retried according to policy and ultimately dead-lettered for operational review.</w:t>
      </w:r>
    </w:p>
    <w:p>
      <w:pPr>
        <w:pStyle w:val="ListParagraph"/>
        <w:numPr>
          <w:ilvl w:val="0"/>
          <w:numId w:val="2"/>
        </w:numPr>
        <w:spacing w:after="90" w:line="276"/>
      </w:pPr>
      <w:r>
        <w:t xml:space="preserve">Report generation is monitored independently from interactive API traffic.</w:t>
      </w:r>
    </w:p>
    <w:p>
      <w:pPr>
        <w:pStyle w:val="Heading2"/>
        <w:spacing w:after="120" w:before="260"/>
      </w:pPr>
      <w:r>
        <w:t xml:space="preserve">7.4 Search and Analytics Workflow</w:t>
      </w:r>
    </w:p>
    <w:p>
      <w:pPr>
        <w:pStyle w:val="ListParagraph"/>
        <w:numPr>
          <w:ilvl w:val="0"/>
          <w:numId w:val="2"/>
        </w:numPr>
        <w:spacing w:after="90" w:line="276"/>
      </w:pPr>
      <w:r>
        <w:t xml:space="preserve">User submits a search, dashboard or analytical report request.</w:t>
      </w:r>
    </w:p>
    <w:p>
      <w:pPr>
        <w:pStyle w:val="ListParagraph"/>
        <w:numPr>
          <w:ilvl w:val="0"/>
          <w:numId w:val="2"/>
        </w:numPr>
        <w:spacing w:after="90" w:line="276"/>
      </w:pPr>
      <w:r>
        <w:t xml:space="preserve">Backend applies jurisdiction, role and field-level restrictions.</w:t>
      </w:r>
    </w:p>
    <w:p>
      <w:pPr>
        <w:pStyle w:val="ListParagraph"/>
        <w:numPr>
          <w:ilvl w:val="0"/>
          <w:numId w:val="2"/>
        </w:numPr>
        <w:spacing w:after="90" w:line="276"/>
      </w:pPr>
      <w:r>
        <w:t xml:space="preserve">Query planner selects appropriate indexes, joins, aggregations and filters.</w:t>
      </w:r>
    </w:p>
    <w:p>
      <w:pPr>
        <w:pStyle w:val="ListParagraph"/>
        <w:numPr>
          <w:ilvl w:val="0"/>
          <w:numId w:val="2"/>
        </w:numPr>
        <w:spacing w:after="90" w:line="276"/>
      </w:pPr>
      <w:r>
        <w:t xml:space="preserve">Entity counts use relationship-aware aggregation so joins across one-to-many tables do not inflate counts.</w:t>
      </w:r>
    </w:p>
    <w:p>
      <w:pPr>
        <w:pStyle w:val="ListParagraph"/>
        <w:numPr>
          <w:ilvl w:val="0"/>
          <w:numId w:val="2"/>
        </w:numPr>
        <w:spacing w:after="90" w:line="276"/>
      </w:pPr>
      <w:r>
        <w:t xml:space="preserve">Large analytical workloads are kept from exhausting transactional database resources.</w:t>
      </w:r>
    </w:p>
    <w:p>
      <w:pPr>
        <w:pStyle w:val="ListParagraph"/>
        <w:numPr>
          <w:ilvl w:val="0"/>
          <w:numId w:val="2"/>
        </w:numPr>
        <w:spacing w:after="90" w:line="276"/>
      </w:pPr>
      <w:r>
        <w:t xml:space="preserve">Eligible repeated lookups may be cached in Memurai with explicit TTL/invalidation rules.</w:t>
      </w:r>
    </w:p>
    <w:p>
      <w:pPr>
        <w:pStyle w:val="ListParagraph"/>
        <w:numPr>
          <w:ilvl w:val="0"/>
          <w:numId w:val="2"/>
        </w:numPr>
        <w:spacing w:after="90" w:line="276"/>
      </w:pPr>
      <w:r>
        <w:t xml:space="preserve">Long-running analytics are converted to asynchronous report jobs where required.</w:t>
      </w:r>
    </w:p>
    <w:p>
      <w:pPr>
        <w:pStyle w:val="ListParagraph"/>
        <w:numPr>
          <w:ilvl w:val="0"/>
          <w:numId w:val="2"/>
        </w:numPr>
        <w:spacing w:after="90" w:line="276"/>
      </w:pPr>
      <w:r>
        <w:t xml:space="preserve">Execution time, slow queries and resource consumption are monitored.</w:t>
      </w:r>
    </w:p>
    <w:p>
      <w:pPr>
        <w:pStyle w:val="Heading2"/>
        <w:spacing w:after="120" w:before="260"/>
      </w:pPr>
      <w:r>
        <w:t xml:space="preserve">7.5 Report Download Workflow in a Multi-Node Deployment</w:t>
      </w:r>
    </w:p>
    <w:p>
      <w:pPr>
        <w:spacing w:after="160" w:line="276"/>
      </w:pPr>
      <w:r>
        <w:t xml:space="preserve">When more than one application/worker node exists, generated files cannot safely remain only on the local disk of the node that produced them. On a Windows Server estate, the shared-storage role is filled by an SMB file share (ideally with DFS Namespaces/Replication for redundancy) or an on-premises S3-compatible object store, mounted or reachable from every application and worker node.</w:t>
      </w:r>
    </w:p>
    <w:p>
      <w:pPr>
        <w:pStyle w:val="ListParagraph"/>
        <w:numPr>
          <w:ilvl w:val="0"/>
          <w:numId w:val="2"/>
        </w:numPr>
        <w:spacing w:after="90" w:line="276"/>
      </w:pPr>
      <w:r>
        <w:t xml:space="preserve">Worker writes the completed report to shared/durable storage.</w:t>
      </w:r>
    </w:p>
    <w:p>
      <w:pPr>
        <w:pStyle w:val="ListParagraph"/>
        <w:numPr>
          <w:ilvl w:val="0"/>
          <w:numId w:val="2"/>
        </w:numPr>
        <w:spacing w:after="90" w:line="276"/>
      </w:pPr>
      <w:r>
        <w:t xml:space="preserve">Application stores the report reference and metadata in the database.</w:t>
      </w:r>
    </w:p>
    <w:p>
      <w:pPr>
        <w:pStyle w:val="ListParagraph"/>
        <w:numPr>
          <w:ilvl w:val="0"/>
          <w:numId w:val="2"/>
        </w:numPr>
        <w:spacing w:after="90" w:line="276"/>
      </w:pPr>
      <w:r>
        <w:t xml:space="preserve">Any healthy application node can service the subsequent download request.</w:t>
      </w:r>
    </w:p>
    <w:p>
      <w:pPr>
        <w:pStyle w:val="ListParagraph"/>
        <w:numPr>
          <w:ilvl w:val="0"/>
          <w:numId w:val="2"/>
        </w:numPr>
        <w:spacing w:after="90" w:line="276"/>
      </w:pPr>
      <w:r>
        <w:t xml:space="preserve">Access to generated reports is authorized using the same user/jurisdiction controls as the originating report request.</w:t>
      </w:r>
    </w:p>
    <w:p>
      <w:pPr>
        <w:pStyle w:val="ListParagraph"/>
        <w:numPr>
          <w:ilvl w:val="0"/>
          <w:numId w:val="2"/>
        </w:numPr>
        <w:spacing w:after="90" w:line="276"/>
      </w:pPr>
      <w:r>
        <w:t xml:space="preserve">Expired temporary outputs are removed according to the approved retention policy.</w:t>
      </w:r>
    </w:p>
    <w:p>
      <w:pPr>
        <w:pStyle w:val="Heading1"/>
        <w:spacing w:after="160" w:before="360"/>
      </w:pPr>
      <w:r>
        <w:t xml:space="preserve">8. Reporting and Analytics Infrastructure Requirements</w:t>
      </w:r>
    </w:p>
    <w:p>
      <w:pPr>
        <w:spacing w:after="160" w:line="276"/>
      </w:pPr>
      <w:r>
        <w:t xml:space="preserve">PHAROS contains both conventional official reporting and flexible analytical reporting. These should share a common controlled reporting engine but must not be confused. Official predefined templates remain authoritative for official report outputs; the ad-hoc/data-warehouse style interface exposes reportable fields and analytical dimensions through metadata and permission controls.</w:t>
      </w:r>
    </w:p>
    <w:p>
      <w:pPr>
        <w:pStyle w:val="ListParagraph"/>
        <w:numPr>
          <w:ilvl w:val="0"/>
          <w:numId w:val="2"/>
        </w:numPr>
        <w:spacing w:after="90" w:line="276"/>
      </w:pPr>
      <w:r>
        <w:t xml:space="preserve">Official reports shall retain their predefined templates, business definitions and expected data mappings.</w:t>
      </w:r>
    </w:p>
    <w:p>
      <w:pPr>
        <w:pStyle w:val="ListParagraph"/>
        <w:numPr>
          <w:ilvl w:val="0"/>
          <w:numId w:val="2"/>
        </w:numPr>
        <w:spacing w:after="90" w:line="276"/>
      </w:pPr>
      <w:r>
        <w:t xml:space="preserve">Ad-hoc reporting shall use a controlled metadata catalogue rather than exposing arbitrary raw database columns.</w:t>
      </w:r>
    </w:p>
    <w:p>
      <w:pPr>
        <w:pStyle w:val="ListParagraph"/>
        <w:numPr>
          <w:ilvl w:val="0"/>
          <w:numId w:val="2"/>
        </w:numPr>
        <w:spacing w:after="90" w:line="276"/>
      </w:pPr>
      <w:r>
        <w:t xml:space="preserve">Reportable fields shall be permission-aware and jurisdiction-aware.</w:t>
      </w:r>
    </w:p>
    <w:p>
      <w:pPr>
        <w:pStyle w:val="ListParagraph"/>
        <w:numPr>
          <w:ilvl w:val="0"/>
          <w:numId w:val="2"/>
        </w:numPr>
        <w:spacing w:after="90" w:line="276"/>
      </w:pPr>
      <w:r>
        <w:t xml:space="preserve">Users shall be able to filter, group, sort and select reportable fields according to their permissions.</w:t>
      </w:r>
    </w:p>
    <w:p>
      <w:pPr>
        <w:pStyle w:val="ListParagraph"/>
        <w:numPr>
          <w:ilvl w:val="0"/>
          <w:numId w:val="2"/>
        </w:numPr>
        <w:spacing w:after="90" w:line="276"/>
      </w:pPr>
      <w:r>
        <w:t xml:space="preserve">Boolean/status fields should primarily support filtering unless explicitly selected as output fields.</w:t>
      </w:r>
    </w:p>
    <w:p>
      <w:pPr>
        <w:pStyle w:val="ListParagraph"/>
        <w:numPr>
          <w:ilvl w:val="0"/>
          <w:numId w:val="2"/>
        </w:numPr>
        <w:spacing w:after="90" w:line="276"/>
      </w:pPr>
      <w:r>
        <w:t xml:space="preserve">Aggregations shall count the correct business entity and avoid one-to-many join fan-out.</w:t>
      </w:r>
    </w:p>
    <w:p>
      <w:pPr>
        <w:pStyle w:val="ListParagraph"/>
        <w:numPr>
          <w:ilvl w:val="0"/>
          <w:numId w:val="2"/>
        </w:numPr>
        <w:spacing w:after="90" w:line="276"/>
      </w:pPr>
      <w:r>
        <w:t xml:space="preserve">Zero values should be represented where the requested master-data dimension has no matching records, where that behavior is appropriate.</w:t>
      </w:r>
    </w:p>
    <w:p>
      <w:pPr>
        <w:pStyle w:val="ListParagraph"/>
        <w:numPr>
          <w:ilvl w:val="0"/>
          <w:numId w:val="2"/>
        </w:numPr>
        <w:spacing w:after="90" w:line="276"/>
      </w:pPr>
      <w:r>
        <w:t xml:space="preserve">NULL/unknown values shall remain distinguishable from zero.</w:t>
      </w:r>
    </w:p>
    <w:p>
      <w:pPr>
        <w:pStyle w:val="ListParagraph"/>
        <w:numPr>
          <w:ilvl w:val="0"/>
          <w:numId w:val="2"/>
        </w:numPr>
        <w:spacing w:after="90" w:line="276"/>
      </w:pPr>
      <w:r>
        <w:t xml:space="preserve">Existing Police master data shall be reused rather than duplicated in the frontend.</w:t>
      </w:r>
    </w:p>
    <w:p>
      <w:pPr>
        <w:pStyle w:val="ListParagraph"/>
        <w:numPr>
          <w:ilvl w:val="0"/>
          <w:numId w:val="2"/>
        </w:numPr>
        <w:spacing w:after="90" w:line="276"/>
      </w:pPr>
      <w:r>
        <w:t xml:space="preserve">Report queries should execute server-side/database-side; the browser should not download raw datasets merely to calculate totals.</w:t>
      </w:r>
    </w:p>
    <w:p>
      <w:pPr>
        <w:pStyle w:val="ListParagraph"/>
        <w:numPr>
          <w:ilvl w:val="0"/>
          <w:numId w:val="2"/>
        </w:numPr>
        <w:spacing w:after="90" w:line="276"/>
      </w:pPr>
      <w:r>
        <w:t xml:space="preserve">Generated Excel/PDF work shall use background workers when it can materially affect API responsiveness.</w:t>
      </w:r>
    </w:p>
    <w:p>
      <w:pPr>
        <w:pStyle w:val="Heading1"/>
        <w:spacing w:after="160" w:before="360"/>
      </w:pPr>
      <w:r>
        <w:t xml:space="preserve">9. Security and Access-Control Requirements</w:t>
      </w:r>
    </w:p>
    <w:p>
      <w:pPr>
        <w:spacing w:after="160" w:line="276"/>
      </w:pPr>
      <w:r>
        <w:t xml:space="preserve">PHAROS handles evidentiary and sensitive police information. Security controls must not be relaxed for a pilot because pilot data carries the same sensitivity as full production data.</w:t>
      </w:r>
    </w:p>
    <w:p>
      <w:pPr>
        <w:pStyle w:val="ListParagraph"/>
        <w:numPr>
          <w:ilvl w:val="0"/>
          <w:numId w:val="2"/>
        </w:numPr>
        <w:spacing w:after="90" w:line="276"/>
      </w:pPr>
      <w:r>
        <w:t xml:space="preserve">Use TLS for user-to-application and application-to-database communication as required by the approved security architecture.</w:t>
      </w:r>
    </w:p>
    <w:p>
      <w:pPr>
        <w:pStyle w:val="ListParagraph"/>
        <w:numPr>
          <w:ilvl w:val="0"/>
          <w:numId w:val="2"/>
        </w:numPr>
        <w:spacing w:after="90" w:line="276"/>
      </w:pPr>
      <w:r>
        <w:t xml:space="preserve">Use network allowlisting/segmentation appropriate to the Police intranet, enforced with Windows Firewall with Advanced Security in addition to any perimeter/network firewall.</w:t>
      </w:r>
    </w:p>
    <w:p>
      <w:pPr>
        <w:pStyle w:val="ListParagraph"/>
        <w:numPr>
          <w:ilvl w:val="0"/>
          <w:numId w:val="2"/>
        </w:numPr>
        <w:spacing w:after="90" w:line="276"/>
      </w:pPr>
      <w:r>
        <w:t xml:space="preserve">Enforce backend authorization for every protected data operation.</w:t>
      </w:r>
    </w:p>
    <w:p>
      <w:pPr>
        <w:pStyle w:val="ListParagraph"/>
        <w:numPr>
          <w:ilvl w:val="0"/>
          <w:numId w:val="2"/>
        </w:numPr>
        <w:spacing w:after="90" w:line="276"/>
      </w:pPr>
      <w:r>
        <w:t xml:space="preserve">Apply row-level/geographic scope so station, district, range/zone and HQ roles see only permitted data.</w:t>
      </w:r>
    </w:p>
    <w:p>
      <w:pPr>
        <w:pStyle w:val="ListParagraph"/>
        <w:numPr>
          <w:ilvl w:val="0"/>
          <w:numId w:val="2"/>
        </w:numPr>
        <w:spacing w:after="90" w:line="276"/>
      </w:pPr>
      <w:r>
        <w:t xml:space="preserve">Protect sensitive fields and report exports using the same authorization model as operational screens.</w:t>
      </w:r>
    </w:p>
    <w:p>
      <w:pPr>
        <w:pStyle w:val="ListParagraph"/>
        <w:numPr>
          <w:ilvl w:val="0"/>
          <w:numId w:val="2"/>
        </w:numPr>
        <w:spacing w:after="90" w:line="276"/>
      </w:pPr>
      <w:r>
        <w:t xml:space="preserve">Use CSRF protection for state-changing browser requests where applicable.</w:t>
      </w:r>
    </w:p>
    <w:p>
      <w:pPr>
        <w:pStyle w:val="ListParagraph"/>
        <w:numPr>
          <w:ilvl w:val="0"/>
          <w:numId w:val="2"/>
        </w:numPr>
        <w:spacing w:after="90" w:line="276"/>
      </w:pPr>
      <w:r>
        <w:t xml:space="preserve">Apply role-aware rate limits and abuse controls.</w:t>
      </w:r>
    </w:p>
    <w:p>
      <w:pPr>
        <w:pStyle w:val="ListParagraph"/>
        <w:numPr>
          <w:ilvl w:val="0"/>
          <w:numId w:val="2"/>
        </w:numPr>
        <w:spacing w:after="90" w:line="276"/>
      </w:pPr>
      <w:r>
        <w:t xml:space="preserve">Encrypt database volumes and other sensitive persistent storage at rest using BitLocker or an approved enterprise disk-encryption product.</w:t>
      </w:r>
    </w:p>
    <w:p>
      <w:pPr>
        <w:pStyle w:val="ListParagraph"/>
        <w:numPr>
          <w:ilvl w:val="0"/>
          <w:numId w:val="2"/>
        </w:numPr>
        <w:spacing w:after="90" w:line="276"/>
      </w:pPr>
      <w:r>
        <w:t xml:space="preserve">Protect service credentials and certificates using the Windows Certificate Store, Windows Data Protection API (DPAPI), or an approved enterprise secrets/key-management vault — never plain configuration files.</w:t>
      </w:r>
    </w:p>
    <w:p>
      <w:pPr>
        <w:pStyle w:val="ListParagraph"/>
        <w:numPr>
          <w:ilvl w:val="0"/>
          <w:numId w:val="2"/>
        </w:numPr>
        <w:spacing w:after="90" w:line="276"/>
      </w:pPr>
      <w:r>
        <w:t xml:space="preserve">Run each PHAROS service under a Group Managed Service Account (gMSA) where the environment is Active Directory–joined; gMSAs give each service its own AD identity with automatic, IT-managed password rotation and no interactively-usable credential, which is the realistic least-privilege mechanism on Windows Server (in place of a generic "local service account").</w:t>
      </w:r>
    </w:p>
    <w:p>
      <w:pPr>
        <w:pStyle w:val="ListParagraph"/>
        <w:numPr>
          <w:ilvl w:val="0"/>
          <w:numId w:val="2"/>
        </w:numPr>
        <w:spacing w:after="90" w:line="276"/>
      </w:pPr>
      <w:r>
        <w:t xml:space="preserve">Keep administrative access on restricted management networks, bastion hosts, or Privileged Access Workstations (PAWs), consistent with Active Directory tiering practice.</w:t>
      </w:r>
    </w:p>
    <w:p>
      <w:pPr>
        <w:pStyle w:val="ListParagraph"/>
        <w:numPr>
          <w:ilvl w:val="0"/>
          <w:numId w:val="2"/>
        </w:numPr>
        <w:spacing w:after="90" w:line="276"/>
      </w:pPr>
      <w:r>
        <w:t xml:space="preserve">Centralize security-relevant logs (Windows Security/Application/System Event Logs plus application logs) and preserve audit records according to the evidentiary retention policy.</w:t>
      </w:r>
    </w:p>
    <w:p>
      <w:pPr>
        <w:pStyle w:val="Heading1"/>
        <w:spacing w:after="160" w:before="360"/>
      </w:pPr>
      <w:r>
        <w:t xml:space="preserve">10. High Availability, Backup and Disaster Recovery</w:t>
      </w:r>
    </w:p>
    <w:p>
      <w:pPr>
        <w:spacing w:after="160" w:line="276"/>
      </w:pPr>
      <w:r>
        <w:t xml:space="preserve">High availability is a production requirement. Zero-downtime active-active operation is not mandatory as a baseline; planned maintenance windows are acceptable, and active-passive is an acceptable starting architecture.</w:t>
      </w:r>
    </w:p>
    <w:p>
      <w:pPr>
        <w:pStyle w:val="ListParagraph"/>
        <w:numPr>
          <w:ilvl w:val="0"/>
          <w:numId w:val="2"/>
        </w:numPr>
        <w:spacing w:after="90" w:line="276"/>
      </w:pPr>
      <w:r>
        <w:t xml:space="preserve">Provide a production failover capability for critical services, using Windows Server Failover Clustering (WSFC) for services that support it, or the application/database-specific mechanisms noted below where they do not.</w:t>
      </w:r>
    </w:p>
    <w:p>
      <w:pPr>
        <w:pStyle w:val="ListParagraph"/>
        <w:numPr>
          <w:ilvl w:val="0"/>
          <w:numId w:val="2"/>
        </w:numPr>
        <w:spacing w:after="90" w:line="276"/>
      </w:pPr>
      <w:r>
        <w:t xml:space="preserve">Provide PostgreSQL standby/replication appropriate to the final topology, per the failover-orchestration note in Section 6.4.</w:t>
      </w:r>
    </w:p>
    <w:p>
      <w:pPr>
        <w:pStyle w:val="ListParagraph"/>
        <w:numPr>
          <w:ilvl w:val="0"/>
          <w:numId w:val="2"/>
        </w:numPr>
        <w:spacing w:after="90" w:line="276"/>
      </w:pPr>
      <w:r>
        <w:t xml:space="preserve">Document application, database, broker and cache recovery procedures, including the exact PowerShell/Task Scheduler steps used on Windows rather than assuming a Linux init-system equivalent.</w:t>
      </w:r>
    </w:p>
    <w:p>
      <w:pPr>
        <w:pStyle w:val="ListParagraph"/>
        <w:numPr>
          <w:ilvl w:val="0"/>
          <w:numId w:val="2"/>
        </w:numPr>
        <w:spacing w:after="90" w:line="276"/>
      </w:pPr>
      <w:r>
        <w:t xml:space="preserve">Use continuous WAL archiving and point-in-time recovery for PostgreSQL.</w:t>
      </w:r>
    </w:p>
    <w:p>
      <w:pPr>
        <w:pStyle w:val="ListParagraph"/>
        <w:numPr>
          <w:ilvl w:val="0"/>
          <w:numId w:val="2"/>
        </w:numPr>
        <w:spacing w:after="90" w:line="276"/>
      </w:pPr>
      <w:r>
        <w:t xml:space="preserve">Perform regular full database backups/snapshots according to the approved backup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40"/>
              <w:left w:type="dxa" w:w="160"/>
              <w:bottom w:type="dxa" w:w="140"/>
              <w:right w:type="dxa" w:w="160"/>
            </w:tcMar>
          </w:tcPr>
          <w:p>
            <w:pPr>
              <w:spacing w:after="60"/>
            </w:pPr>
            <w:r>
              <w:rPr>
                <w:b/>
                <w:bCs/>
              </w:rPr>
              <w:t xml:space="preserve">Backup tooling: pgBackRest and Barman do not run on Windows</w:t>
            </w:r>
          </w:p>
          <w:p>
            <w:pPr>
              <w:spacing w:after="0"/>
            </w:pPr>
            <w:r>
              <w:t xml:space="preserve">Both of the backup tools named in the original Linux-based assessment — pgBackRest and Barman — are Unix/Linux-only projects with no Windows build. On Windows Server, the realistic backup approach is one of: (1) native pg_basebackup for full base backups combined with continuous WAL archiving via a PowerShell script triggered by PostgreSQL's archive_command, scheduled and monitored through Windows Task Scheduler; or (2) an enterprise backup product already in use by Police IT (for example Veeam or Commvault) that has application-aware, VSS (Volume Shadow Copy Service)–integrated PostgreSQL support, which is common in Indian government data centres and gives centralized retention and restore-testing tooling the raw script approach lacks. Either option must include a documented, regularly rehearsed restore procedure — a successful backup job is not evidence of a working restore.</w:t>
            </w:r>
          </w:p>
        </w:tc>
      </w:tr>
    </w:tbl>
    <w:p>
      <w:pPr>
        <w:pStyle w:val="ListParagraph"/>
        <w:numPr>
          <w:ilvl w:val="0"/>
          <w:numId w:val="2"/>
        </w:numPr>
        <w:spacing w:after="90" w:line="276"/>
      </w:pPr>
      <w:r>
        <w:t xml:space="preserve">Back up application configuration, infrastructure configuration and other required deployment artifacts.</w:t>
      </w:r>
    </w:p>
    <w:p>
      <w:pPr>
        <w:pStyle w:val="ListParagraph"/>
        <w:numPr>
          <w:ilvl w:val="0"/>
          <w:numId w:val="2"/>
        </w:numPr>
        <w:spacing w:after="90" w:line="276"/>
      </w:pPr>
      <w:r>
        <w:t xml:space="preserve">Back up durable generated report files/reports according to their retention and evidentiary requirements.</w:t>
      </w:r>
    </w:p>
    <w:p>
      <w:pPr>
        <w:pStyle w:val="ListParagraph"/>
        <w:numPr>
          <w:ilvl w:val="0"/>
          <w:numId w:val="2"/>
        </w:numPr>
        <w:spacing w:after="90" w:line="276"/>
      </w:pPr>
      <w:r>
        <w:t xml:space="preserve">Define RPO and RTO for application, database and catastrophic site failure.</w:t>
      </w:r>
    </w:p>
    <w:p>
      <w:pPr>
        <w:pStyle w:val="ListParagraph"/>
        <w:numPr>
          <w:ilvl w:val="0"/>
          <w:numId w:val="2"/>
        </w:numPr>
        <w:spacing w:after="90" w:line="276"/>
      </w:pPr>
      <w:r>
        <w:t xml:space="preserve">Perform periodic restore tests rather than assuming that successful backup jobs prove recoverability.</w:t>
      </w:r>
    </w:p>
    <w:p>
      <w:pPr>
        <w:pStyle w:val="ListParagraph"/>
        <w:numPr>
          <w:ilvl w:val="0"/>
          <w:numId w:val="2"/>
        </w:numPr>
        <w:spacing w:after="90" w:line="276"/>
      </w:pPr>
      <w:r>
        <w:t xml:space="preserve">Ensure failover does not bypass authorization, audit or data-integrity controls.</w:t>
      </w:r>
    </w:p>
    <w:p>
      <w:pPr>
        <w:pStyle w:val="Heading1"/>
        <w:spacing w:after="160" w:before="360"/>
      </w:pPr>
      <w:r>
        <w:t xml:space="preserve">11. Network and Connectivity Requirements</w:t>
      </w:r>
    </w:p>
    <w:p>
      <w:pPr>
        <w:spacing w:after="160" w:line="276"/>
      </w:pPr>
      <w:r>
        <w:t xml:space="preserve">The exact Police Station-to-server connectivity design is a Police Technical / Network Department decision. PHAROS must operate over the approved Police LAN/WAN/VPN/leased-line or other controlled connectivity environment without assuming public internet exposure.</w:t>
      </w:r>
    </w:p>
    <w:p>
      <w:pPr>
        <w:pStyle w:val="ListParagraph"/>
        <w:numPr>
          <w:ilvl w:val="0"/>
          <w:numId w:val="2"/>
        </w:numPr>
        <w:spacing w:after="90" w:line="276"/>
      </w:pPr>
      <w:r>
        <w:t xml:space="preserve">Provide secure connectivity from authorized Police Stations, Sub-Divisions, District offices, HQ and Special Cells.</w:t>
      </w:r>
    </w:p>
    <w:p>
      <w:pPr>
        <w:pStyle w:val="ListParagraph"/>
        <w:numPr>
          <w:ilvl w:val="0"/>
          <w:numId w:val="2"/>
        </w:numPr>
        <w:spacing w:after="90" w:line="276"/>
      </w:pPr>
      <w:r>
        <w:t xml:space="preserve">Keep database, RabbitMQ, Memurai and management ports on private/restricted networks.</w:t>
      </w:r>
    </w:p>
    <w:p>
      <w:pPr>
        <w:pStyle w:val="ListParagraph"/>
        <w:numPr>
          <w:ilvl w:val="0"/>
          <w:numId w:val="2"/>
        </w:numPr>
        <w:spacing w:after="90" w:line="276"/>
      </w:pPr>
      <w:r>
        <w:t xml:space="preserve">Expose only required user-facing HTTPS (TCP/443) endpoints to user networks.</w:t>
      </w:r>
    </w:p>
    <w:p>
      <w:pPr>
        <w:pStyle w:val="ListParagraph"/>
        <w:numPr>
          <w:ilvl w:val="0"/>
          <w:numId w:val="2"/>
        </w:numPr>
        <w:spacing w:after="90" w:line="276"/>
      </w:pPr>
      <w:r>
        <w:t xml:space="preserve">Use Windows Firewall rules and network firewall rules based on explicit source/destination/service requirements.</w:t>
      </w:r>
    </w:p>
    <w:p>
      <w:pPr>
        <w:pStyle w:val="ListParagraph"/>
        <w:numPr>
          <w:ilvl w:val="0"/>
          <w:numId w:val="2"/>
        </w:numPr>
        <w:spacing w:after="90" w:line="276"/>
      </w:pPr>
      <w:r>
        <w:t xml:space="preserve">Use network segmentation between user-facing, application, data and management tiers where supported.</w:t>
      </w:r>
    </w:p>
    <w:p>
      <w:pPr>
        <w:pStyle w:val="ListParagraph"/>
        <w:numPr>
          <w:ilvl w:val="0"/>
          <w:numId w:val="2"/>
        </w:numPr>
        <w:spacing w:after="90" w:line="276"/>
      </w:pPr>
      <w:r>
        <w:t xml:space="preserve">Provide sufficient bandwidth for interactive traffic plus report downloads, which are the only significant outbound file transfers PHAROS produces.</w:t>
      </w:r>
    </w:p>
    <w:p>
      <w:pPr>
        <w:pStyle w:val="ListParagraph"/>
        <w:numPr>
          <w:ilvl w:val="0"/>
          <w:numId w:val="2"/>
        </w:numPr>
        <w:spacing w:after="90" w:line="276"/>
      </w:pPr>
      <w:r>
        <w:t xml:space="preserve">Validate actual WAN latency and packet-loss characteristics during pilot testing.</w:t>
      </w:r>
    </w:p>
    <w:p>
      <w:pPr>
        <w:pStyle w:val="ListParagraph"/>
        <w:numPr>
          <w:ilvl w:val="0"/>
          <w:numId w:val="2"/>
        </w:numPr>
        <w:spacing w:after="90" w:line="276"/>
      </w:pPr>
      <w:r>
        <w:t xml:space="preserve">Use Active Directory–integrated DNS and the Windows Time Service (see Section 13) for centralized name resolution and time synchronization.</w:t>
      </w:r>
    </w:p>
    <w:p>
      <w:pPr>
        <w:pStyle w:val="ListParagraph"/>
        <w:numPr>
          <w:ilvl w:val="0"/>
          <w:numId w:val="2"/>
        </w:numPr>
        <w:spacing w:after="90" w:line="276"/>
      </w:pPr>
      <w:r>
        <w:t xml:space="preserve">Database replication traffic should use a high-bandwidth, low-latency private path.</w:t>
      </w:r>
    </w:p>
    <w:p>
      <w:pPr>
        <w:spacing w:after="160" w:line="276"/>
      </w:pPr>
      <w:r>
        <w:t xml:space="preserve">The existing Delhi-wide model estimates approximately 28.8 Mbps during a modeled peak and recommends a 50 Mbps symmetric link to the hosting environment as a planning baseline so report downloads do not exhaust frontend transaction bandwidth. Actual Police WAN capacity and topology should be validated by Network/IT teams.</w:t>
      </w:r>
    </w:p>
    <w:p>
      <w:pPr>
        <w:pStyle w:val="Heading1"/>
        <w:spacing w:after="160" w:before="360"/>
      </w:pPr>
      <w:r>
        <w:t xml:space="preserve">12. Operating System and Software Dependencies</w:t>
      </w:r>
    </w:p>
    <w:p>
      <w:pPr>
        <w:spacing w:after="160" w:line="276"/>
      </w:pPr>
      <w:r>
        <w:t xml:space="preserve">Windows Server is the deployment platform. The table below states the specific version, edition and role of every dependency, together with the realistic supportability position on Windows rather than a generic “shall be validated” instruction.</w:t>
      </w:r>
    </w:p>
    <w:p>
      <w:pPr>
        <w:pStyle w:val="ListParagraph"/>
        <w:numPr>
          <w:ilvl w:val="0"/>
          <w:numId w:val="2"/>
        </w:numPr>
        <w:spacing w:after="90" w:line="276"/>
      </w:pPr>
      <w:r>
        <w:t xml:space="preserve">Windows Server 2025, Datacenter edition, for production nodes that participate in clustering/HA (unlimited virtualization rights and Storage Spaces Direct); Standard edition is acceptable for stand-alone roles such as a single reverse-proxy node where those features are not needed. “Windows Server Enterprise” does not exist as a current edition and must not appear in procurement paperwork.</w:t>
      </w:r>
    </w:p>
    <w:p>
      <w:pPr>
        <w:pStyle w:val="ListParagraph"/>
        <w:numPr>
          <w:ilvl w:val="0"/>
          <w:numId w:val="2"/>
        </w:numPr>
        <w:spacing w:after="90" w:line="276"/>
      </w:pPr>
      <w:r>
        <w:t xml:space="preserve">Choose Server Core or Desktop Experience per role at install time: Server Core is recommended for the PostgreSQL, RabbitMQ and Memurai roles to reduce patching surface and attack surface; Desktop Experience is normally required for the application/worker nodes because Puppeteer/Chromium and IIS management tooling are more reliably operated with the full shell available.</w:t>
      </w:r>
    </w:p>
    <w:p>
      <w:pPr>
        <w:pStyle w:val="ListParagraph"/>
        <w:numPr>
          <w:ilvl w:val="0"/>
          <w:numId w:val="2"/>
        </w:numPr>
        <w:spacing w:after="90" w:line="276"/>
      </w:pPr>
      <w:r>
        <w:t xml:space="preserve">Node.js 22.x (current Active LTS) for the API tier; plan the migration to Node.js 24.x once it enters LTS in October 2026.</w:t>
      </w:r>
    </w:p>
    <w:p>
      <w:pPr>
        <w:pStyle w:val="ListParagraph"/>
        <w:numPr>
          <w:ilvl w:val="0"/>
          <w:numId w:val="2"/>
        </w:numPr>
        <w:spacing w:after="90" w:line="276"/>
      </w:pPr>
      <w:r>
        <w:t xml:space="preserve">Python 3.12.x or 3.13.x (64-bit Windows installer) for report/background workers.</w:t>
      </w:r>
    </w:p>
    <w:p>
      <w:pPr>
        <w:pStyle w:val="ListParagraph"/>
        <w:numPr>
          <w:ilvl w:val="0"/>
          <w:numId w:val="2"/>
        </w:numPr>
        <w:spacing w:after="90" w:line="276"/>
      </w:pPr>
      <w:r>
        <w:t xml:space="preserve">PostgreSQL 17 or 18 (EDB's native Windows distribution) with the pg_trgm, btree_gin and uuid-ossp extensions; PostgreSQL 16 is an acceptable interim baseline where extension/driver revalidation is still pending.</w:t>
      </w:r>
    </w:p>
    <w:p>
      <w:pPr>
        <w:pStyle w:val="ListParagraph"/>
        <w:numPr>
          <w:ilvl w:val="0"/>
          <w:numId w:val="2"/>
        </w:numPr>
        <w:spacing w:after="90" w:line="276"/>
      </w:pPr>
      <w:r>
        <w:t xml:space="preserve">RabbitMQ 4.x (native Windows installer) with a matching 64-bit Erlang/OTP runtime installed separately, management plugin enabled per security policy.</w:t>
      </w:r>
    </w:p>
    <w:p>
      <w:pPr>
        <w:pStyle w:val="ListParagraph"/>
        <w:numPr>
          <w:ilvl w:val="0"/>
          <w:numId w:val="2"/>
        </w:numPr>
        <w:spacing w:after="90" w:line="276"/>
      </w:pPr>
      <w:r>
        <w:t xml:space="preserve">Memurai Enterprise Edition (Redis 7–compatible, native Windows service) for cache/short-lived state workloads.</w:t>
      </w:r>
    </w:p>
    <w:p>
      <w:pPr>
        <w:pStyle w:val="ListParagraph"/>
        <w:numPr>
          <w:ilvl w:val="0"/>
          <w:numId w:val="2"/>
        </w:numPr>
        <w:spacing w:after="90" w:line="276"/>
      </w:pPr>
      <w:r>
        <w:t xml:space="preserve">IIS with Application Request Routing (ARR) and URL Rewrite as the primary reverse proxy/load-balancer role, or the Police-approved enterprise/hardware load balancer.</w:t>
      </w:r>
    </w:p>
    <w:p>
      <w:pPr>
        <w:pStyle w:val="ListParagraph"/>
        <w:numPr>
          <w:ilvl w:val="0"/>
          <w:numId w:val="2"/>
        </w:numPr>
        <w:spacing w:after="90" w:line="276"/>
      </w:pPr>
      <w:r>
        <w:t xml:space="preserve">NSSM or WinSW to run Node.js processes as native Windows Services (or iisnode if hosting under IIS directly).</w:t>
      </w:r>
    </w:p>
    <w:p>
      <w:pPr>
        <w:pStyle w:val="ListParagraph"/>
        <w:numPr>
          <w:ilvl w:val="0"/>
          <w:numId w:val="2"/>
        </w:numPr>
        <w:spacing w:after="90" w:line="276"/>
      </w:pPr>
      <w:r>
        <w:t>Puppeteer with its bundled Chromium for PDF/report rendering workflows that need full CSS/HTML fidelity. All API and report-worker Windows Server nodes must have Devanagari font packages (Nirmala UI and Mangal font families) pre-installed in C:\Windows\Fonts to guarantee accurate Hindi rendering in official daily diary and FIR report exports.</w:t>
      </w:r>
    </w:p>
    <w:p>
      <w:pPr>
        <w:pStyle w:val="ListParagraph"/>
        <w:numPr>
          <w:ilvl w:val="0"/>
          <w:numId w:val="2"/>
        </w:numPr>
        <w:spacing w:after="90" w:line="276"/>
      </w:pPr>
      <w:r>
        <w:t xml:space="preserve">openpyxl and pika (both pure Python, OS-independent) for Excel generation and the RabbitMQ client in report workers.</w:t>
      </w:r>
    </w:p>
    <w:p>
      <w:pPr>
        <w:pStyle w:val="ListParagraph"/>
        <w:numPr>
          <w:ilvl w:val="0"/>
          <w:numId w:val="2"/>
        </w:numPr>
        <w:spacing w:after="90" w:line="276"/>
      </w:pPr>
      <w:r>
        <w:t>EDB's native Windows PgBouncer installer (Optional — Node.js driver connection pooling is sufficient for &lt;500 concurrent users).</w:t>
      </w:r>
    </w:p>
    <w:p>
      <w:pPr>
        <w:pStyle w:val="ListParagraph"/>
        <w:numPr>
          <w:ilvl w:val="0"/>
          <w:numId w:val="2"/>
        </w:numPr>
        <w:spacing w:after="90" w:line="276"/>
      </w:pPr>
      <w:r>
        <w:t>PostgreSQL Native Streaming Replication with Virtual IP / DNS failover redirection. (WSFC is reserved for IIS/load-balancer failover where needed; WSFC shared-disk clustering is not recommended for PostgreSQL database storage).</w:t>
      </w:r>
    </w:p>
    <w:p>
      <w:pPr>
        <w:pStyle w:val="ListParagraph"/>
        <w:numPr>
          <w:ilvl w:val="0"/>
          <w:numId w:val="2"/>
        </w:numPr>
        <w:spacing w:after="90" w:line="276"/>
      </w:pPr>
      <w:r>
        <w:t xml:space="preserve">An approved enterprise monitoring platform, or Prometheus with windows_exporter and postgres_exporter, for metrics and alerting (see Section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40"/>
              <w:left w:type="dxa" w:w="160"/>
              <w:bottom w:type="dxa" w:w="140"/>
              <w:right w:type="dxa" w:w="160"/>
            </w:tcMar>
          </w:tcPr>
          <w:p>
            <w:pPr>
              <w:spacing w:after="60"/>
            </w:pPr>
            <w:r>
              <w:rPr>
                <w:b/>
                <w:bCs/>
              </w:rPr>
              <w:t xml:space="preserve">WeasyPrint is the highest-risk dependency on Windows and should be reconsidered</w:t>
            </w:r>
          </w:p>
          <w:p>
            <w:pPr>
              <w:spacing w:after="0"/>
            </w:pPr>
            <w:r>
              <w:t xml:space="preserve">WeasyPrint depends on Pango, Cairo, GDK-PixBuf and Fontconfig — native Linux/GTK libraries with no first-party Windows port. Its own maintainers rely on a third-party GTK3 Windows runtime installer, and years of open issues in the WeasyPrint repository show a recurring pattern of DLL-not-found and Fontconfig-path errors on Windows that resurface with routine GTK3/Windows updates. This is not a one-time setup cost; it is an ongoing operational risk for a service that must render police report PDFs reliably. Two realistic paths: (1) consolidate all PDF rendering onto Puppeteer/Chromium, which is already required for other report workflows and needs no equivalent native-library bridge, removing WeasyPrint from the stack entirely — the preferred option if the existing WeasyPrint templates can be ported to HTML/CSS for Chromium rendering; or (2) if specific report templates cannot be ported in the available timeline, isolate only the WeasyPrint-dependent worker processes on an approved Linux VM or container (per the exception in Section 2), leaving the rest of the estate on Windows. Do not treat “install the GTK3 runtime and hope” as a production-ready plan.</w:t>
            </w:r>
          </w:p>
        </w:tc>
      </w:tr>
    </w:tbl>
    <w:p>
      <w:pPr>
        <w:pStyle w:val="Heading1"/>
        <w:spacing w:after="160" w:before="360"/>
      </w:pPr>
      <w:r>
        <w:t xml:space="preserve">13. Monitoring, Logging and Operations</w:t>
      </w:r>
    </w:p>
    <w:p>
      <w:pPr>
        <w:pStyle w:val="ListParagraph"/>
        <w:numPr>
          <w:ilvl w:val="0"/>
          <w:numId w:val="2"/>
        </w:numPr>
        <w:spacing w:after="90" w:line="276"/>
      </w:pPr>
      <w:r>
        <w:t xml:space="preserve">Monitor API request rate, latency, errors and saturation.</w:t>
      </w:r>
    </w:p>
    <w:p>
      <w:pPr>
        <w:pStyle w:val="ListParagraph"/>
        <w:numPr>
          <w:ilvl w:val="0"/>
          <w:numId w:val="2"/>
        </w:numPr>
        <w:spacing w:after="90" w:line="276"/>
      </w:pPr>
      <w:r>
        <w:t xml:space="preserve">Monitor PostgreSQL CPU, memory, storage I/O, connections, locks, slow queries, cache behavior and replication lag, via the enterprise monitoring platform or postgres_exporter/Prometheus/Grafana.</w:t>
      </w:r>
    </w:p>
    <w:p>
      <w:pPr>
        <w:pStyle w:val="ListParagraph"/>
        <w:numPr>
          <w:ilvl w:val="0"/>
          <w:numId w:val="2"/>
        </w:numPr>
        <w:spacing w:after="90" w:line="276"/>
      </w:pPr>
      <w:r>
        <w:t xml:space="preserve">Monitor RabbitMQ queue depth, message age, publish/delivery rates, consumer health, retries and dead-letter volume, via the management plugin or its Prometheus exporter.</w:t>
      </w:r>
    </w:p>
    <w:p>
      <w:pPr>
        <w:pStyle w:val="ListParagraph"/>
        <w:numPr>
          <w:ilvl w:val="0"/>
          <w:numId w:val="2"/>
        </w:numPr>
        <w:spacing w:after="90" w:line="276"/>
      </w:pPr>
      <w:r>
        <w:t xml:space="preserve">Monitor Memurai memory, hit/miss ratio, evictions, latency and availability.</w:t>
      </w:r>
    </w:p>
    <w:p>
      <w:pPr>
        <w:pStyle w:val="ListParagraph"/>
        <w:numPr>
          <w:ilvl w:val="0"/>
          <w:numId w:val="2"/>
        </w:numPr>
        <w:spacing w:after="90" w:line="276"/>
      </w:pPr>
      <w:r>
        <w:t xml:space="preserve">Monitor report-worker throughput, job duration, failure rate and temporary storage usage.</w:t>
      </w:r>
    </w:p>
    <w:p>
      <w:pPr>
        <w:pStyle w:val="ListParagraph"/>
        <w:numPr>
          <w:ilvl w:val="0"/>
          <w:numId w:val="2"/>
        </w:numPr>
        <w:spacing w:after="90" w:line="276"/>
      </w:pPr>
      <w:r>
        <w:t xml:space="preserve">Monitor Puppeteer/Chromium memory usage because concurrent PDF rendering can materially increase application-node memory demand; on Windows, also watch handle counts, which climb faster than on Linux under heavy concurrent browser-process usage.</w:t>
      </w:r>
    </w:p>
    <w:p>
      <w:pPr>
        <w:pStyle w:val="ListParagraph"/>
        <w:numPr>
          <w:ilvl w:val="0"/>
          <w:numId w:val="2"/>
        </w:numPr>
        <w:spacing w:after="90" w:line="276"/>
      </w:pPr>
      <w:r>
        <w:t xml:space="preserve">Use Windows Performance Counters (CPU, memory, disk queue length, disk latency, network) alongside windows_exporter if a Prometheus/Grafana stack is used, so infrastructure and application metrics live in one place.</w:t>
      </w:r>
    </w:p>
    <w:p>
      <w:pPr>
        <w:pStyle w:val="ListParagraph"/>
        <w:numPr>
          <w:ilvl w:val="0"/>
          <w:numId w:val="2"/>
        </w:numPr>
        <w:spacing w:after="90" w:line="276"/>
      </w:pPr>
      <w:r>
        <w:t xml:space="preserve">Centralize logs across application, worker and database tiers — Windows Event Forwarding (WEF) or an agent-based log shipper into the SIEM/log platform — so a transaction or audit event can be traced across services.</w:t>
      </w:r>
    </w:p>
    <w:p>
      <w:pPr>
        <w:pStyle w:val="ListParagraph"/>
        <w:numPr>
          <w:ilvl w:val="0"/>
          <w:numId w:val="2"/>
        </w:numPr>
        <w:spacing w:after="90" w:line="276"/>
      </w:pPr>
      <w:r>
        <w:t xml:space="preserve">Use alert thresholds tied to sustained saturation and service-impacting conditions rather than transient spikes.</w:t>
      </w:r>
    </w:p>
    <w:p>
      <w:pPr>
        <w:pStyle w:val="ListParagraph"/>
        <w:numPr>
          <w:ilvl w:val="0"/>
          <w:numId w:val="2"/>
        </w:numPr>
        <w:spacing w:after="90" w:line="276"/>
      </w:pPr>
      <w:r>
        <w:t xml:space="preserve">Configure the Windows Time Service (W32Time) against a reliable, authoritative NTP source, with polling parameters tightened beyond W32Time's out-of-the-box defaults (which are tuned for desktop clients, not evidentiary server timestamps); keep all Windows and any non-Windows nodes synchronized to the same source, since audit and revision timestamps are evidentiary data.</w:t>
      </w:r>
    </w:p>
    <w:p>
      <w:pPr>
        <w:pStyle w:val="ListParagraph"/>
        <w:numPr>
          <w:ilvl w:val="0"/>
          <w:numId w:val="2"/>
        </w:numPr>
        <w:spacing w:after="90" w:line="276"/>
      </w:pPr>
      <w:r>
        <w:t xml:space="preserve">Maintain operational dashboards for infrastructure health and application workload health.</w:t>
      </w:r>
    </w:p>
    <w:p>
      <w:pPr>
        <w:pStyle w:val="Heading1"/>
        <w:spacing w:after="160" w:before="360"/>
      </w:pPr>
      <w:r>
        <w:t xml:space="preserve">14. Environment and Deployment Workflow</w:t>
      </w:r>
    </w:p>
    <w:p>
      <w:pPr>
        <w:pStyle w:val="Heading2"/>
        <w:spacing w:after="120" w:before="260"/>
      </w:pPr>
      <w:r>
        <w:t xml:space="preserve">14.1 Development / Build</w:t>
      </w:r>
    </w:p>
    <w:p>
      <w:pPr>
        <w:pStyle w:val="ListParagraph"/>
        <w:numPr>
          <w:ilvl w:val="0"/>
          <w:numId w:val="2"/>
        </w:numPr>
        <w:spacing w:after="90" w:line="276"/>
      </w:pPr>
      <w:r>
        <w:t xml:space="preserve">Build application and worker artifacts using controlled versioning, on Windows-based or Windows-compatible CI runners so the build environment matches the deployment target.</w:t>
      </w:r>
    </w:p>
    <w:p>
      <w:pPr>
        <w:pStyle w:val="ListParagraph"/>
        <w:numPr>
          <w:ilvl w:val="0"/>
          <w:numId w:val="2"/>
        </w:numPr>
        <w:spacing w:after="90" w:line="276"/>
      </w:pPr>
      <w:r>
        <w:t xml:space="preserve">Run automated tests, database migration checks and security checks before deployment.</w:t>
      </w:r>
    </w:p>
    <w:p>
      <w:pPr>
        <w:pStyle w:val="ListParagraph"/>
        <w:numPr>
          <w:ilvl w:val="0"/>
          <w:numId w:val="2"/>
        </w:numPr>
        <w:spacing w:after="90" w:line="276"/>
      </w:pPr>
      <w:r>
        <w:t xml:space="preserve">Package services using the runtime approved by Police IT.</w:t>
      </w:r>
    </w:p>
    <w:p>
      <w:pPr>
        <w:pStyle w:val="Heading2"/>
        <w:spacing w:after="120" w:before="260"/>
      </w:pPr>
      <w:r>
        <w:t xml:space="preserve">14.2 Staging / UAT</w:t>
      </w:r>
    </w:p>
    <w:p>
      <w:pPr>
        <w:pStyle w:val="ListParagraph"/>
        <w:numPr>
          <w:ilvl w:val="0"/>
          <w:numId w:val="2"/>
        </w:numPr>
        <w:spacing w:after="90" w:line="276"/>
      </w:pPr>
      <w:r>
        <w:t xml:space="preserve">Maintain a separate staging/UAT environment at reduced scale, on the same Windows Server release and edition as production.</w:t>
      </w:r>
    </w:p>
    <w:p>
      <w:pPr>
        <w:pStyle w:val="ListParagraph"/>
        <w:numPr>
          <w:ilvl w:val="0"/>
          <w:numId w:val="2"/>
        </w:numPr>
        <w:spacing w:after="90" w:line="276"/>
      </w:pPr>
      <w:r>
        <w:t xml:space="preserve">Test hierarchy changes, report-template changes, field-registry/reporting metadata changes and workflow changes before production.</w:t>
      </w:r>
    </w:p>
    <w:p>
      <w:pPr>
        <w:pStyle w:val="ListParagraph"/>
        <w:numPr>
          <w:ilvl w:val="0"/>
          <w:numId w:val="2"/>
        </w:numPr>
        <w:spacing w:after="90" w:line="276"/>
      </w:pPr>
      <w:r>
        <w:t xml:space="preserve">Run representative report-generation and concurrency tests.</w:t>
      </w:r>
    </w:p>
    <w:p>
      <w:pPr>
        <w:pStyle w:val="ListParagraph"/>
        <w:numPr>
          <w:ilvl w:val="0"/>
          <w:numId w:val="2"/>
        </w:numPr>
        <w:spacing w:after="90" w:line="276"/>
      </w:pPr>
      <w:r>
        <w:t xml:space="preserve">Validate backup/restore and deployment rollback procedures using the actual Windows-native backup mechanism chosen in Section 10.</w:t>
      </w:r>
    </w:p>
    <w:p>
      <w:pPr>
        <w:spacing w:after="160" w:line="276"/>
      </w:pPr>
      <w:r>
        <w:t xml:space="preserve">A separate reduced-scale staging environment is recommended because changes to reporting metadata, hierarchy and workflow can affect live case records.</w:t>
      </w:r>
    </w:p>
    <w:p>
      <w:pPr>
        <w:pStyle w:val="Heading2"/>
        <w:spacing w:after="120" w:before="260"/>
      </w:pPr>
      <w:r>
        <w:t xml:space="preserve">14.3 Production Deployment</w:t>
      </w:r>
    </w:p>
    <w:p>
      <w:pPr>
        <w:pStyle w:val="ListParagraph"/>
        <w:numPr>
          <w:ilvl w:val="0"/>
          <w:numId w:val="2"/>
        </w:numPr>
        <w:spacing w:after="90" w:line="276"/>
      </w:pPr>
      <w:r>
        <w:t xml:space="preserve">Deploy only approved builds and database migrations.</w:t>
      </w:r>
    </w:p>
    <w:p>
      <w:pPr>
        <w:pStyle w:val="ListParagraph"/>
        <w:numPr>
          <w:ilvl w:val="0"/>
          <w:numId w:val="2"/>
        </w:numPr>
        <w:spacing w:after="90" w:line="276"/>
      </w:pPr>
      <w:r>
        <w:t xml:space="preserve">Use controlled change windows for infrastructure and schema changes, aligned to the Windows Update patching cadence agreed with Police IT.</w:t>
      </w:r>
    </w:p>
    <w:p>
      <w:pPr>
        <w:pStyle w:val="ListParagraph"/>
        <w:numPr>
          <w:ilvl w:val="0"/>
          <w:numId w:val="2"/>
        </w:numPr>
        <w:spacing w:after="90" w:line="276"/>
      </w:pPr>
      <w:r>
        <w:t xml:space="preserve">Confirm backup health before material production changes.</w:t>
      </w:r>
    </w:p>
    <w:p>
      <w:pPr>
        <w:pStyle w:val="ListParagraph"/>
        <w:numPr>
          <w:ilvl w:val="0"/>
          <w:numId w:val="2"/>
        </w:numPr>
        <w:spacing w:after="90" w:line="276"/>
      </w:pPr>
      <w:r>
        <w:t xml:space="preserve">Validate application, database, queue, cache and worker health after deployment.</w:t>
      </w:r>
    </w:p>
    <w:p>
      <w:pPr>
        <w:pStyle w:val="ListParagraph"/>
        <w:numPr>
          <w:ilvl w:val="0"/>
          <w:numId w:val="2"/>
        </w:numPr>
        <w:spacing w:after="90" w:line="276"/>
      </w:pPr>
      <w:r>
        <w:t xml:space="preserve">Keep rollback procedures documented and tested.</w:t>
      </w:r>
    </w:p>
    <w:p>
      <w:pPr>
        <w:pStyle w:val="Heading1"/>
        <w:spacing w:after="160" w:before="360"/>
      </w:pPr>
      <w:r>
        <w:t xml:space="preserve">15. Scaling Strategy</w:t>
      </w:r>
    </w:p>
    <w:p>
      <w:pPr>
        <w:spacing w:after="160" w:line="276"/>
      </w:pPr>
      <w:r>
        <w:t xml:space="preserve">The architecture is intended to scale by separating workload classes rather than simply increasing the size of one server. Application/API capacity, background report capacity, database capacity, cache capacity and message-processing capacity can therefore be adjusted independently as telemetry identifies a bottleneck.</w:t>
      </w:r>
    </w:p>
    <w:p>
      <w:pPr>
        <w:pStyle w:val="ListParagraph"/>
        <w:numPr>
          <w:ilvl w:val="0"/>
          <w:numId w:val="2"/>
        </w:numPr>
        <w:spacing w:after="90" w:line="276"/>
      </w:pPr>
      <w:r>
        <w:t xml:space="preserve">Scale application nodes/processes (each a set of NSSM/WinSW-managed Windows Services) when API CPU, memory or concurrency becomes the limiting factor.</w:t>
      </w:r>
    </w:p>
    <w:p>
      <w:pPr>
        <w:pStyle w:val="ListParagraph"/>
        <w:numPr>
          <w:ilvl w:val="0"/>
          <w:numId w:val="2"/>
        </w:numPr>
        <w:spacing w:after="90" w:line="276"/>
      </w:pPr>
      <w:r>
        <w:t xml:space="preserve">Scale report workers when RabbitMQ backlog or report completion latency becomes the limiting factor.</w:t>
      </w:r>
    </w:p>
    <w:p>
      <w:pPr>
        <w:pStyle w:val="ListParagraph"/>
        <w:numPr>
          <w:ilvl w:val="0"/>
          <w:numId w:val="2"/>
        </w:numPr>
        <w:spacing w:after="90" w:line="276"/>
      </w:pPr>
      <w:r>
        <w:t xml:space="preserve">Scale PostgreSQL vertically and/or through read replicas/workload isolation when database CPU, I/O or query latency becomes the limiting factor.</w:t>
      </w:r>
    </w:p>
    <w:p>
      <w:pPr>
        <w:pStyle w:val="ListParagraph"/>
        <w:numPr>
          <w:ilvl w:val="0"/>
          <w:numId w:val="2"/>
        </w:numPr>
        <w:spacing w:after="90" w:line="276"/>
      </w:pPr>
      <w:r>
        <w:t xml:space="preserve">Scale RabbitMQ through appropriate broker topology and consumer capacity when message throughput or backlog becomes the limiting factor.</w:t>
      </w:r>
    </w:p>
    <w:p>
      <w:pPr>
        <w:pStyle w:val="ListParagraph"/>
        <w:numPr>
          <w:ilvl w:val="0"/>
          <w:numId w:val="2"/>
        </w:numPr>
        <w:spacing w:after="90" w:line="276"/>
      </w:pPr>
      <w:r>
        <w:t xml:space="preserve">Scale Memurai memory/topology when working-set size or cache pressure becomes the limiting factor.</w:t>
      </w:r>
    </w:p>
    <w:p>
      <w:pPr>
        <w:pStyle w:val="ListParagraph"/>
        <w:numPr>
          <w:ilvl w:val="0"/>
          <w:numId w:val="2"/>
        </w:numPr>
        <w:spacing w:after="90" w:line="276"/>
      </w:pPr>
      <w:r>
        <w:t xml:space="preserve">Expand durable storage independently from database compute where attachment/report growth is the dominant driver.</w:t>
      </w:r>
    </w:p>
    <w:p>
      <w:pPr>
        <w:pStyle w:val="ListParagraph"/>
        <w:numPr>
          <w:ilvl w:val="0"/>
          <w:numId w:val="2"/>
        </w:numPr>
        <w:spacing w:after="90" w:line="276"/>
      </w:pPr>
      <w:r>
        <w:t xml:space="preserve">Use measured telemetry rather than annual record count alone to trigger scaling decisions.</w:t>
      </w:r>
    </w:p>
    <w:p>
      <w:pPr>
        <w:pStyle w:val="Heading1"/>
        <w:spacing w:after="160" w:before="360"/>
      </w:pPr>
      <w:r>
        <w:t xml:space="preserve">16. Initial Production Discussion-Point Sizing</w:t>
      </w:r>
    </w:p>
    <w:p>
      <w:pPr>
        <w:spacing w:after="160" w:line="276"/>
      </w:pPr>
      <w:r>
        <w:t xml:space="preserve">The following figures are starting points for IT capacity planning. They are not contractual hardware specifications and must be validated through PHAROS load testing on the actual Windows Server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200"/>
        <w:gridCol w:w="2860"/>
      </w:tblGrid>
      <w:tr>
        <w:trPr>
          <w:tblHeader/>
        </w:trPr>
        <w:tc>
          <w:tcPr>
            <w:tcW w:type="dxa" w:w="33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vAlign w:val="center"/>
          </w:tcPr>
          <w:p>
            <w:r>
              <w:rPr>
                <w:b/>
                <w:bCs/>
                <w:color w:val="FFFFFF"/>
                <w:sz w:val="20"/>
                <w:szCs w:val="20"/>
              </w:rPr>
              <w:t xml:space="preserve">Service / role</w:t>
            </w:r>
          </w:p>
        </w:tc>
        <w:tc>
          <w:tcPr>
            <w:tcW w:type="dxa" w:w="3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vAlign w:val="center"/>
          </w:tcPr>
          <w:p>
            <w:r>
              <w:rPr>
                <w:b/>
                <w:bCs/>
                <w:color w:val="FFFFFF"/>
                <w:sz w:val="20"/>
                <w:szCs w:val="20"/>
              </w:rPr>
              <w:t xml:space="preserve">Initial discussion point</w:t>
            </w:r>
          </w:p>
        </w:tc>
        <w:tc>
          <w:tcPr>
            <w:tcW w:type="dxa" w:w="28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vAlign w:val="center"/>
          </w:tcPr>
          <w:p>
            <w:r>
              <w:rPr>
                <w:b/>
                <w:bCs/>
                <w:color w:val="FFFFFF"/>
                <w:sz w:val="20"/>
                <w:szCs w:val="20"/>
              </w:rPr>
              <w:t xml:space="preserve">Purpose</w:t>
            </w:r>
          </w:p>
        </w:tc>
      </w:tr>
      <w:tr>
        <w:tc>
          <w:tcPr>
            <w:tcW w:type="dxa" w:w="33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PostgreSQL (Windows Server Datacenter, WSFC-managed pair)</w:t>
            </w:r>
          </w:p>
        </w:tc>
        <w:tc>
          <w:tcPr>
            <w:tcW w:type="dxa" w:w="32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8 vCPU / 32 GB RAM per node; high-performance NVMe; HA pair as baseline</w:t>
            </w:r>
          </w:p>
        </w:tc>
        <w:tc>
          <w:tcPr>
            <w:tcW w:type="dxa" w:w="28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Authoritative transactional and reporting data</w:t>
            </w:r>
          </w:p>
        </w:tc>
      </w:tr>
      <w:tr>
        <w:tc>
          <w:tcPr>
            <w:tcW w:type="dxa" w:w="33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Application/API node (Windows Service via NSSM/WinSW, or IIS+iisnode)</w:t>
            </w:r>
          </w:p>
        </w:tc>
        <w:tc>
          <w:tcPr>
            <w:tcW w:type="dxa" w:w="32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4 vCPU / 8 GB RAM per node</w:t>
            </w:r>
          </w:p>
        </w:tc>
        <w:tc>
          <w:tcPr>
            <w:tcW w:type="dxa" w:w="28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Interactive API and browser workload</w:t>
            </w:r>
          </w:p>
        </w:tc>
      </w:tr>
      <w:tr>
        <w:tc>
          <w:tcPr>
            <w:tcW w:type="dxa" w:w="33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Background report worker</w:t>
            </w:r>
          </w:p>
        </w:tc>
        <w:tc>
          <w:tcPr>
            <w:tcW w:type="dxa" w:w="32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4 vCPU / 8 GB RAM per worker</w:t>
            </w:r>
          </w:p>
        </w:tc>
        <w:tc>
          <w:tcPr>
            <w:tcW w:type="dxa" w:w="28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Excel/PDF generation and long-running jobs</w:t>
            </w:r>
          </w:p>
        </w:tc>
      </w:tr>
      <w:tr>
        <w:tc>
          <w:tcPr>
            <w:tcW w:type="dxa" w:w="33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RabbitMQ (native Windows service)</w:t>
            </w:r>
          </w:p>
        </w:tc>
        <w:tc>
          <w:tcPr>
            <w:tcW w:type="dxa" w:w="32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≈4 vCPU / 8 GB RAM</w:t>
            </w:r>
          </w:p>
        </w:tc>
        <w:tc>
          <w:tcPr>
            <w:tcW w:type="dxa" w:w="28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Asynchronous jobs/events</w:t>
            </w:r>
          </w:p>
        </w:tc>
      </w:tr>
      <w:tr>
        <w:tc>
          <w:tcPr>
            <w:tcW w:type="dxa" w:w="33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Memurai Enterprise</w:t>
            </w:r>
          </w:p>
        </w:tc>
        <w:tc>
          <w:tcPr>
            <w:tcW w:type="dxa" w:w="32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≈4 vCPU / 8 GB RAM</w:t>
            </w:r>
          </w:p>
        </w:tc>
        <w:tc>
          <w:tcPr>
            <w:tcW w:type="dxa" w:w="28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Cache, rate limiting and short-lived state</w:t>
            </w:r>
          </w:p>
        </w:tc>
      </w:tr>
      <w:tr>
        <w:tc>
          <w:tcPr>
            <w:tcW w:type="dxa" w:w="33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IIS ARR / enterprise load balancer</w:t>
            </w:r>
          </w:p>
        </w:tc>
        <w:tc>
          <w:tcPr>
            <w:tcW w:type="dxa" w:w="32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≈2 vCPU / 4 GB RAM per node, or a dedicated appliance</w:t>
            </w:r>
          </w:p>
        </w:tc>
        <w:tc>
          <w:tcPr>
            <w:tcW w:type="dxa" w:w="28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TLS termination and traffic distribution</w:t>
            </w:r>
          </w:p>
        </w:tc>
      </w:tr>
      <w:tr>
        <w:tc>
          <w:tcPr>
            <w:tcW w:type="dxa" w:w="33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Database storage</w:t>
            </w:r>
          </w:p>
        </w:tc>
        <w:tc>
          <w:tcPr>
            <w:tcW w:type="dxa" w:w="32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≈500 GB high-performance storage per HA database node</w:t>
            </w:r>
          </w:p>
        </w:tc>
        <w:tc>
          <w:tcPr>
            <w:tcW w:type="dxa" w:w="28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Database, indexes, WAL/temp headroom</w:t>
            </w:r>
          </w:p>
        </w:tc>
      </w:tr>
      <w:tr>
        <w:tc>
          <w:tcPr>
            <w:tcW w:type="dxa" w:w="33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Object/document storage (SMB/DFS-R or S3-compatible)</w:t>
            </w:r>
          </w:p>
        </w:tc>
        <w:tc>
          <w:tcPr>
            <w:tcW w:type="dxa" w:w="32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≈500 GB – 1 TB starting point (generated reports only — corrected basis, Section 4)</w:t>
            </w:r>
          </w:p>
        </w:tc>
        <w:tc>
          <w:tcPr>
            <w:tcW w:type="dxa" w:w="28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Generated report PDFs/Excel exports only; no user-uploaded attachments exist to store</w:t>
            </w:r>
          </w:p>
        </w:tc>
      </w:tr>
    </w:tbl>
    <w:p>
      <w:pPr>
        <w:spacing w:after="160" w:line="276"/>
      </w:pPr>
      <w:r>
        <w:t xml:space="preserve">The existing full-scale assessment separately models an 11-node logical production footprint totaling approximately 48 vCPU and 128 GB RAM, with 500 GB database storage per database node and report/shared storage capacity to be finalized. It also notes that application nodes need additional memory when Puppeteer runs in-process. These figures are useful for brainstorming but should be reconciled with the final deployment model and benchmark results.</w:t>
      </w:r>
    </w:p>
    <w:p>
      <w:pPr>
        <w:pStyle w:val="Heading1"/>
        <w:spacing w:after="160" w:before="360"/>
      </w:pPr>
      <w:r>
        <w:t xml:space="preserve">17. Infrastructure Decisions to Be Finalized by Police Technical / IT</w:t>
      </w:r>
    </w:p>
    <w:p>
      <w:pPr>
        <w:pStyle w:val="ListParagraph"/>
        <w:numPr>
          <w:ilvl w:val="0"/>
          <w:numId w:val="2"/>
        </w:numPr>
        <w:spacing w:after="90" w:line="276"/>
      </w:pPr>
      <w:r>
        <w:t xml:space="preserve">Windows Server 2025 Datacenter versus Standard edition, per role (Section 12).</w:t>
      </w:r>
    </w:p>
    <w:p>
      <w:pPr>
        <w:pStyle w:val="ListParagraph"/>
        <w:numPr>
          <w:ilvl w:val="0"/>
          <w:numId w:val="2"/>
        </w:numPr>
        <w:spacing w:after="90" w:line="276"/>
      </w:pPr>
      <w:r>
        <w:t xml:space="preserve">Server Core versus Desktop Experience, per role.</w:t>
      </w:r>
    </w:p>
    <w:p>
      <w:pPr>
        <w:pStyle w:val="ListParagraph"/>
        <w:numPr>
          <w:ilvl w:val="0"/>
          <w:numId w:val="2"/>
        </w:numPr>
        <w:spacing w:after="90" w:line="276"/>
      </w:pPr>
      <w:r>
        <w:t xml:space="preserve">Physical servers versus Hyper-V virtual machines versus containers (Windows Containers where applicable).</w:t>
      </w:r>
    </w:p>
    <w:p>
      <w:pPr>
        <w:pStyle w:val="ListParagraph"/>
        <w:numPr>
          <w:ilvl w:val="0"/>
          <w:numId w:val="2"/>
        </w:numPr>
        <w:spacing w:after="90" w:line="276"/>
      </w:pPr>
      <w:r>
        <w:t xml:space="preserve">Application/API node count and scaling policy.</w:t>
      </w:r>
    </w:p>
    <w:p>
      <w:pPr>
        <w:pStyle w:val="ListParagraph"/>
        <w:numPr>
          <w:ilvl w:val="0"/>
          <w:numId w:val="2"/>
        </w:numPr>
        <w:spacing w:after="90" w:line="276"/>
      </w:pPr>
      <w:r>
        <w:t xml:space="preserve">PostgreSQL primary/standby/replica topology and failover mechanism: WSFC-orchestrated automated failover, a documented manual failover runbook, or an isolated Linux orchestration layer (Section 6.4).</w:t>
      </w:r>
    </w:p>
    <w:p>
      <w:pPr>
        <w:pStyle w:val="ListParagraph"/>
        <w:numPr>
          <w:ilvl w:val="0"/>
          <w:numId w:val="2"/>
        </w:numPr>
        <w:spacing w:after="90" w:line="276"/>
      </w:pPr>
      <w:r>
        <w:t xml:space="preserve">PostgreSQL backup mechanism: native pg_basebackup/WAL-archiving scripts versus an enterprise VSS-integrated backup product (Section 10).</w:t>
      </w:r>
    </w:p>
    <w:p>
      <w:pPr>
        <w:pStyle w:val="ListParagraph"/>
        <w:numPr>
          <w:ilvl w:val="0"/>
          <w:numId w:val="2"/>
        </w:numPr>
        <w:spacing w:after="90" w:line="276"/>
      </w:pPr>
      <w:r>
        <w:t xml:space="preserve">RabbitMQ standalone, redundant or clustered topology; persistence and failover; which Erlang/OTP version to standardize on.</w:t>
      </w:r>
    </w:p>
    <w:p>
      <w:pPr>
        <w:pStyle w:val="ListParagraph"/>
        <w:numPr>
          <w:ilvl w:val="0"/>
          <w:numId w:val="2"/>
        </w:numPr>
        <w:spacing w:after="90" w:line="276"/>
      </w:pPr>
      <w:r>
        <w:t xml:space="preserve">Memurai licensing tier (Developer vs. Enterprise) and topology; persistence and failover.</w:t>
      </w:r>
    </w:p>
    <w:p>
      <w:pPr>
        <w:pStyle w:val="ListParagraph"/>
        <w:numPr>
          <w:ilvl w:val="0"/>
          <w:numId w:val="2"/>
        </w:numPr>
        <w:spacing w:after="90" w:line="276"/>
      </w:pPr>
      <w:r>
        <w:t xml:space="preserve">Reverse-proxy/load-balancer architecture: IIS ARR versus an enterprise/hardware load balancer.</w:t>
      </w:r>
    </w:p>
    <w:p>
      <w:pPr>
        <w:pStyle w:val="ListParagraph"/>
        <w:numPr>
          <w:ilvl w:val="0"/>
          <w:numId w:val="2"/>
        </w:numPr>
        <w:spacing w:after="90" w:line="276"/>
      </w:pPr>
      <w:r>
        <w:t xml:space="preserve">Primary and disaster-recovery data-centre placement.</w:t>
      </w:r>
    </w:p>
    <w:p>
      <w:pPr>
        <w:pStyle w:val="ListParagraph"/>
        <w:numPr>
          <w:ilvl w:val="0"/>
          <w:numId w:val="2"/>
        </w:numPr>
        <w:spacing w:after="90" w:line="276"/>
      </w:pPr>
      <w:r>
        <w:t xml:space="preserve">SAN/NAS/NVMe/object storage technology and expansion model, including whether Storage Spaces Direct (available under Datacenter edition) is used for the storage layer.</w:t>
      </w:r>
    </w:p>
    <w:p>
      <w:pPr>
        <w:pStyle w:val="ListParagraph"/>
        <w:numPr>
          <w:ilvl w:val="0"/>
          <w:numId w:val="2"/>
        </w:numPr>
        <w:spacing w:after="90" w:line="276"/>
      </w:pPr>
      <w:r>
        <w:t xml:space="preserve">Network segmentation, VLANs, Windows Firewall/network firewall rules, routing and Police WAN connectivity.</w:t>
      </w:r>
    </w:p>
    <w:p>
      <w:pPr>
        <w:pStyle w:val="ListParagraph"/>
        <w:numPr>
          <w:ilvl w:val="0"/>
          <w:numId w:val="2"/>
        </w:numPr>
        <w:spacing w:after="90" w:line="276"/>
      </w:pPr>
      <w:r>
        <w:t xml:space="preserve">Identity integration: Active Directory domain design, Group Managed Service Accounts (gMSA), and any additional SSO/LDAP requirement.</w:t>
      </w:r>
    </w:p>
    <w:p>
      <w:pPr>
        <w:pStyle w:val="ListParagraph"/>
        <w:numPr>
          <w:ilvl w:val="0"/>
          <w:numId w:val="2"/>
        </w:numPr>
        <w:spacing w:after="90" w:line="276"/>
      </w:pPr>
      <w:r>
        <w:t xml:space="preserve">Backup, restore, RPO/RTO and DR procedures.</w:t>
      </w:r>
    </w:p>
    <w:p>
      <w:pPr>
        <w:pStyle w:val="ListParagraph"/>
        <w:numPr>
          <w:ilvl w:val="0"/>
          <w:numId w:val="2"/>
        </w:numPr>
        <w:spacing w:after="90" w:line="276"/>
      </w:pPr>
      <w:r>
        <w:t xml:space="preserve">Centralized logging, metrics, monitoring and alerting platform (Windows Event Forwarding/SIEM, enterprise APM, or Prometheus/Grafana with windows_exporter).</w:t>
      </w:r>
    </w:p>
    <w:p>
      <w:pPr>
        <w:pStyle w:val="ListParagraph"/>
        <w:numPr>
          <w:ilvl w:val="0"/>
          <w:numId w:val="2"/>
        </w:numPr>
        <w:spacing w:after="90" w:line="276"/>
      </w:pPr>
      <w:r>
        <w:t xml:space="preserve">OS hardening, patching cadence (Windows Update for Business / WSUS / SCCM), vulnerability management and certificate/secrets management.</w:t>
      </w:r>
    </w:p>
    <w:p>
      <w:pPr>
        <w:pStyle w:val="ListParagraph"/>
        <w:numPr>
          <w:ilvl w:val="0"/>
          <w:numId w:val="2"/>
        </w:numPr>
        <w:spacing w:after="90" w:line="276"/>
      </w:pPr>
      <w:r>
        <w:t xml:space="preserve">Whether WeasyPrint is retired in favor of Chromium-only PDF rendering, or isolated on an approved Linux VM (Section 12).</w:t>
      </w:r>
    </w:p>
    <w:p>
      <w:pPr>
        <w:pStyle w:val="ListParagraph"/>
        <w:numPr>
          <w:ilvl w:val="0"/>
          <w:numId w:val="2"/>
        </w:numPr>
        <w:spacing w:after="90" w:line="276"/>
      </w:pPr>
      <w:r>
        <w:t xml:space="preserve">Operational ownership, on-call responsibilities and incident/escalation procedures.</w:t>
      </w:r>
    </w:p>
    <w:p>
      <w:pPr>
        <w:pStyle w:val="Heading1"/>
        <w:spacing w:after="160" w:before="360"/>
      </w:pPr>
      <w:r>
        <w:t xml:space="preserve">18. Acceptance and Capacity Validation</w:t>
      </w:r>
    </w:p>
    <w:p>
      <w:pPr>
        <w:pStyle w:val="ListParagraph"/>
        <w:numPr>
          <w:ilvl w:val="0"/>
          <w:numId w:val="2"/>
        </w:numPr>
        <w:spacing w:after="90" w:line="276"/>
      </w:pPr>
      <w:r>
        <w:t xml:space="preserve">Validate approximately 500 peak concurrent users under realistic Police workflows.</w:t>
      </w:r>
    </w:p>
    <w:p>
      <w:pPr>
        <w:pStyle w:val="ListParagraph"/>
        <w:numPr>
          <w:ilvl w:val="0"/>
          <w:numId w:val="2"/>
        </w:numPr>
        <w:spacing w:after="90" w:line="276"/>
      </w:pPr>
      <w:r>
        <w:t xml:space="preserve">Validate 50–100 peak API requests/second with acceptable latency and error rates.</w:t>
      </w:r>
    </w:p>
    <w:p>
      <w:pPr>
        <w:pStyle w:val="ListParagraph"/>
        <w:numPr>
          <w:ilvl w:val="0"/>
          <w:numId w:val="2"/>
        </w:numPr>
        <w:spacing w:after="90" w:line="276"/>
      </w:pPr>
      <w:r>
        <w:t xml:space="preserve">Validate simultaneous shift-handover and end-of-day workload behavior.</w:t>
      </w:r>
    </w:p>
    <w:p>
      <w:pPr>
        <w:pStyle w:val="ListParagraph"/>
        <w:numPr>
          <w:ilvl w:val="0"/>
          <w:numId w:val="2"/>
        </w:numPr>
        <w:spacing w:after="90" w:line="276"/>
      </w:pPr>
      <w:r>
        <w:t xml:space="preserve">Validate concurrent report generation while interactive users continue normal operations.</w:t>
      </w:r>
    </w:p>
    <w:p>
      <w:pPr>
        <w:pStyle w:val="ListParagraph"/>
        <w:numPr>
          <w:ilvl w:val="0"/>
          <w:numId w:val="2"/>
        </w:numPr>
        <w:spacing w:after="90" w:line="276"/>
      </w:pPr>
      <w:r>
        <w:t xml:space="preserve">Validate RabbitMQ queue recovery, retries, dead-letter handling and worker scaling, including a full Windows Service restart of the broker.</w:t>
      </w:r>
    </w:p>
    <w:p>
      <w:pPr>
        <w:pStyle w:val="ListParagraph"/>
        <w:numPr>
          <w:ilvl w:val="0"/>
          <w:numId w:val="2"/>
        </w:numPr>
        <w:spacing w:after="90" w:line="276"/>
      </w:pPr>
      <w:r>
        <w:t xml:space="preserve">Validate Memurai restart/cache-loss behavior without corruption of authoritative data.</w:t>
      </w:r>
    </w:p>
    <w:p>
      <w:pPr>
        <w:pStyle w:val="ListParagraph"/>
        <w:numPr>
          <w:ilvl w:val="0"/>
          <w:numId w:val="2"/>
        </w:numPr>
        <w:spacing w:after="90" w:line="276"/>
      </w:pPr>
      <w:r>
        <w:t xml:space="preserve">Validate PostgreSQL backup, restore and point-in-time recovery using the specific Windows-native mechanism selected in Section 10.</w:t>
      </w:r>
    </w:p>
    <w:p>
      <w:pPr>
        <w:pStyle w:val="ListParagraph"/>
        <w:numPr>
          <w:ilvl w:val="0"/>
          <w:numId w:val="2"/>
        </w:numPr>
        <w:spacing w:after="90" w:line="276"/>
      </w:pPr>
      <w:r>
        <w:t xml:space="preserve">Validate database failover — automated via WSFC or manual via the documented runbook, whichever was chosen — and application reconnection behavior.</w:t>
      </w:r>
    </w:p>
    <w:p>
      <w:pPr>
        <w:pStyle w:val="ListParagraph"/>
        <w:numPr>
          <w:ilvl w:val="0"/>
          <w:numId w:val="2"/>
        </w:numPr>
        <w:spacing w:after="90" w:line="276"/>
      </w:pPr>
      <w:r>
        <w:t xml:space="preserve">Validate report generation and download from multiple application nodes when horizontally scaled, through the shared SMB/DFS-R or object storage layer.</w:t>
      </w:r>
    </w:p>
    <w:p>
      <w:pPr>
        <w:pStyle w:val="ListParagraph"/>
        <w:numPr>
          <w:ilvl w:val="0"/>
          <w:numId w:val="2"/>
        </w:numPr>
        <w:spacing w:after="90" w:line="276"/>
      </w:pPr>
      <w:r>
        <w:t xml:space="preserve">Validate jurisdiction/RBAC boundaries under reporting and ad-hoc analytics workloads.</w:t>
      </w:r>
    </w:p>
    <w:p>
      <w:pPr>
        <w:pStyle w:val="ListParagraph"/>
        <w:numPr>
          <w:ilvl w:val="0"/>
          <w:numId w:val="2"/>
        </w:numPr>
        <w:spacing w:after="90" w:line="276"/>
      </w:pPr>
      <w:r>
        <w:t>Validate PDF and Excel report output fidelity, including Hindi/Devanagari text rendering (with Nirmala UI and Mangal font families pre-installed in C:\Windows\Fonts) through Puppeteer/Chromium against official Police report templates.</w:t>
      </w:r>
    </w:p>
    <w:p>
      <w:pPr>
        <w:pStyle w:val="ListParagraph"/>
        <w:numPr>
          <w:ilvl w:val="0"/>
          <w:numId w:val="2"/>
        </w:numPr>
        <w:spacing w:after="90" w:line="276"/>
      </w:pPr>
      <w:r>
        <w:t xml:space="preserve">Validate NSSM/WinSW-managed (or iisnode-managed) Node.js services auto-restart correctly after a crash and after a full server reboot.</w:t>
      </w:r>
    </w:p>
    <w:p>
      <w:pPr>
        <w:pStyle w:val="ListParagraph"/>
        <w:numPr>
          <w:ilvl w:val="0"/>
          <w:numId w:val="2"/>
        </w:numPr>
        <w:spacing w:after="90" w:line="276"/>
      </w:pPr>
      <w:r>
        <w:t xml:space="preserve">Validate antivirus/EDR exclusions do not block or slow PostgreSQL, RabbitMQ or Memurai I/O, and do not interfere with Puppeteer's child Chromium processes.</w:t>
      </w:r>
    </w:p>
    <w:p>
      <w:pPr>
        <w:pStyle w:val="ListParagraph"/>
        <w:numPr>
          <w:ilvl w:val="0"/>
          <w:numId w:val="2"/>
        </w:numPr>
        <w:spacing w:after="90" w:line="276"/>
      </w:pPr>
      <w:r>
        <w:t xml:space="preserve">Validate storage growth assumptions using actual attachment/report volumes from pilot telemetry.</w:t>
      </w:r>
    </w:p>
    <w:p>
      <w:pPr>
        <w:pStyle w:val="ListParagraph"/>
        <w:numPr>
          <w:ilvl w:val="0"/>
          <w:numId w:val="2"/>
        </w:numPr>
        <w:spacing w:after="90" w:line="276"/>
      </w:pPr>
      <w:r>
        <w:t xml:space="preserve">Document measured CPU, RAM, database I/O, network, queue and report-worker utilization before final procurement sizing.</w:t>
      </w:r>
    </w:p>
    <w:p>
      <w:pPr>
        <w:pStyle w:val="Heading1"/>
        <w:spacing w:after="160" w:before="360"/>
      </w:pPr>
      <w:r>
        <w:t xml:space="preserve">19. Operational Responsibility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vAlign w:val="center"/>
          </w:tcPr>
          <w:p>
            <w:r>
              <w:rPr>
                <w:b/>
                <w:bCs/>
                <w:color w:val="FFFFFF"/>
                <w:sz w:val="20"/>
                <w:szCs w:val="20"/>
              </w:rPr>
              <w:t xml:space="preserve">Area</w:t>
            </w:r>
          </w:p>
        </w:tc>
        <w:tc>
          <w:tcPr>
            <w:tcW w:type="dxa" w:w="348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vAlign w:val="center"/>
          </w:tcPr>
          <w:p>
            <w:r>
              <w:rPr>
                <w:b/>
                <w:bCs/>
                <w:color w:val="FFFFFF"/>
                <w:sz w:val="20"/>
                <w:szCs w:val="20"/>
              </w:rPr>
              <w:t xml:space="preserve">PHAROS application responsibility</w:t>
            </w:r>
          </w:p>
        </w:tc>
        <w:tc>
          <w:tcPr>
            <w:tcW w:type="dxa" w:w="348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vAlign w:val="center"/>
          </w:tcPr>
          <w:p>
            <w:r>
              <w:rPr>
                <w:b/>
                <w:bCs/>
                <w:color w:val="FFFFFF"/>
                <w:sz w:val="20"/>
                <w:szCs w:val="20"/>
              </w:rPr>
              <w:t xml:space="preserve">Police IT / infrastructure responsibility</w:t>
            </w:r>
          </w:p>
        </w:tc>
      </w:tr>
      <w:tr>
        <w:tc>
          <w:tcPr>
            <w:tcW w:type="dxa" w:w="2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Application behavior</w:t>
            </w:r>
          </w:p>
        </w:tc>
        <w:tc>
          <w:tcPr>
            <w:tcW w:type="dxa" w:w="348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Business rules, APIs, reporting, workflows, authorization logic</w:t>
            </w:r>
          </w:p>
        </w:tc>
        <w:tc>
          <w:tcPr>
            <w:tcW w:type="dxa" w:w="348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Provide Windows Server runtime environment and availability</w:t>
            </w:r>
          </w:p>
        </w:tc>
      </w:tr>
      <w:tr>
        <w:tc>
          <w:tcPr>
            <w:tcW w:type="dxa" w:w="24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spacing w:after="0"/>
            </w:pPr>
            <w:r>
              <w:rPr>
                <w:b w:val="false"/>
                <w:bCs w:val="false"/>
                <w:sz w:val="20"/>
                <w:szCs w:val="20"/>
              </w:rPr>
              <w:t xml:space="preserve">Capacity</w:t>
            </w:r>
          </w:p>
        </w:tc>
        <w:tc>
          <w:tcPr>
            <w:tcW w:type="dxa" w:w="348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spacing w:after="0"/>
            </w:pPr>
            <w:r>
              <w:rPr>
                <w:b w:val="false"/>
                <w:bCs w:val="false"/>
                <w:sz w:val="20"/>
                <w:szCs w:val="20"/>
              </w:rPr>
              <w:t xml:space="preserve">Define workload targets and performance acceptance criteria</w:t>
            </w:r>
          </w:p>
        </w:tc>
        <w:tc>
          <w:tcPr>
            <w:tcW w:type="dxa" w:w="348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spacing w:after="0"/>
            </w:pPr>
            <w:r>
              <w:rPr>
                <w:b w:val="false"/>
                <w:bCs w:val="false"/>
                <w:sz w:val="20"/>
                <w:szCs w:val="20"/>
              </w:rPr>
              <w:t xml:space="preserve">Allocate CPU/RAM/storage/network and scale infrastructure</w:t>
            </w:r>
          </w:p>
        </w:tc>
      </w:tr>
      <w:tr>
        <w:tc>
          <w:tcPr>
            <w:tcW w:type="dxa" w:w="2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Database</w:t>
            </w:r>
          </w:p>
        </w:tc>
        <w:tc>
          <w:tcPr>
            <w:tcW w:type="dxa" w:w="348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Schema, queries, migrations, indexes and application data model</w:t>
            </w:r>
          </w:p>
        </w:tc>
        <w:tc>
          <w:tcPr>
            <w:tcW w:type="dxa" w:w="348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DB hosting, replication, backups, storage and operational maintenance</w:t>
            </w:r>
          </w:p>
        </w:tc>
      </w:tr>
      <w:tr>
        <w:tc>
          <w:tcPr>
            <w:tcW w:type="dxa" w:w="24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spacing w:after="0"/>
            </w:pPr>
            <w:r>
              <w:rPr>
                <w:b w:val="false"/>
                <w:bCs w:val="false"/>
                <w:sz w:val="20"/>
                <w:szCs w:val="20"/>
              </w:rPr>
              <w:t xml:space="preserve">RabbitMQ</w:t>
            </w:r>
          </w:p>
        </w:tc>
        <w:tc>
          <w:tcPr>
            <w:tcW w:type="dxa" w:w="348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spacing w:after="0"/>
            </w:pPr>
            <w:r>
              <w:rPr>
                <w:b w:val="false"/>
                <w:bCs w:val="false"/>
                <w:sz w:val="20"/>
                <w:szCs w:val="20"/>
              </w:rPr>
              <w:t xml:space="preserve">Queues, routing, consumers, retry/idempotency behavior</w:t>
            </w:r>
          </w:p>
        </w:tc>
        <w:tc>
          <w:tcPr>
            <w:tcW w:type="dxa" w:w="348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spacing w:after="0"/>
            </w:pPr>
            <w:r>
              <w:rPr>
                <w:b w:val="false"/>
                <w:bCs w:val="false"/>
                <w:sz w:val="20"/>
                <w:szCs w:val="20"/>
              </w:rPr>
              <w:t xml:space="preserve">Erlang/OTP + broker install, service management, HA, persistence</w:t>
            </w:r>
          </w:p>
        </w:tc>
      </w:tr>
      <w:tr>
        <w:tc>
          <w:tcPr>
            <w:tcW w:type="dxa" w:w="2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Cache (Memurai)</w:t>
            </w:r>
          </w:p>
        </w:tc>
        <w:tc>
          <w:tcPr>
            <w:tcW w:type="dxa" w:w="348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Cache semantics, TTLs and application integration</w:t>
            </w:r>
          </w:p>
        </w:tc>
        <w:tc>
          <w:tcPr>
            <w:tcW w:type="dxa" w:w="348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Memory allocation, HA/persistence, licensing and service operations</w:t>
            </w:r>
          </w:p>
        </w:tc>
      </w:tr>
      <w:tr>
        <w:tc>
          <w:tcPr>
            <w:tcW w:type="dxa" w:w="24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spacing w:after="0"/>
            </w:pPr>
            <w:r>
              <w:rPr>
                <w:b w:val="false"/>
                <w:bCs w:val="false"/>
                <w:sz w:val="20"/>
                <w:szCs w:val="20"/>
              </w:rPr>
              <w:t xml:space="preserve">Network</w:t>
            </w:r>
          </w:p>
        </w:tc>
        <w:tc>
          <w:tcPr>
            <w:tcW w:type="dxa" w:w="348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spacing w:after="0"/>
            </w:pPr>
            <w:r>
              <w:rPr>
                <w:b w:val="false"/>
                <w:bCs w:val="false"/>
                <w:sz w:val="20"/>
                <w:szCs w:val="20"/>
              </w:rPr>
              <w:t xml:space="preserve">Secure protocol/port requirements</w:t>
            </w:r>
          </w:p>
        </w:tc>
        <w:tc>
          <w:tcPr>
            <w:tcW w:type="dxa" w:w="348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spacing w:after="0"/>
            </w:pPr>
            <w:r>
              <w:rPr>
                <w:b w:val="false"/>
                <w:bCs w:val="false"/>
                <w:sz w:val="20"/>
                <w:szCs w:val="20"/>
              </w:rPr>
              <w:t xml:space="preserve">WAN/LAN, routing, firewall, segmentation and bandwidth</w:t>
            </w:r>
          </w:p>
        </w:tc>
      </w:tr>
      <w:tr>
        <w:tc>
          <w:tcPr>
            <w:tcW w:type="dxa" w:w="2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Security</w:t>
            </w:r>
          </w:p>
        </w:tc>
        <w:tc>
          <w:tcPr>
            <w:tcW w:type="dxa" w:w="348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Application authentication/authorization and secure coding</w:t>
            </w:r>
          </w:p>
        </w:tc>
        <w:tc>
          <w:tcPr>
            <w:tcW w:type="dxa" w:w="348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OS/network hardening, gMSA/AD, certificates, secrets, privileged access</w:t>
            </w:r>
          </w:p>
        </w:tc>
      </w:tr>
      <w:tr>
        <w:tc>
          <w:tcPr>
            <w:tcW w:type="dxa" w:w="24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spacing w:after="0"/>
            </w:pPr>
            <w:r>
              <w:rPr>
                <w:b w:val="false"/>
                <w:bCs w:val="false"/>
                <w:sz w:val="20"/>
                <w:szCs w:val="20"/>
              </w:rPr>
              <w:t xml:space="preserve">Monitoring</w:t>
            </w:r>
          </w:p>
        </w:tc>
        <w:tc>
          <w:tcPr>
            <w:tcW w:type="dxa" w:w="348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spacing w:after="0"/>
            </w:pPr>
            <w:r>
              <w:rPr>
                <w:b w:val="false"/>
                <w:bCs w:val="false"/>
                <w:sz w:val="20"/>
                <w:szCs w:val="20"/>
              </w:rPr>
              <w:t xml:space="preserve">Application metrics, health endpoints and meaningful events</w:t>
            </w:r>
          </w:p>
        </w:tc>
        <w:tc>
          <w:tcPr>
            <w:tcW w:type="dxa" w:w="348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pPr>
              <w:spacing w:after="0"/>
            </w:pPr>
            <w:r>
              <w:rPr>
                <w:b w:val="false"/>
                <w:bCs w:val="false"/>
                <w:sz w:val="20"/>
                <w:szCs w:val="20"/>
              </w:rPr>
              <w:t xml:space="preserve">Monitoring platform, infrastructure alerts and operations</w:t>
            </w:r>
          </w:p>
        </w:tc>
      </w:tr>
      <w:tr>
        <w:tc>
          <w:tcPr>
            <w:tcW w:type="dxa" w:w="2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DR</w:t>
            </w:r>
          </w:p>
        </w:tc>
        <w:tc>
          <w:tcPr>
            <w:tcW w:type="dxa" w:w="348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Application recovery procedures and dependency documentation</w:t>
            </w:r>
          </w:p>
        </w:tc>
        <w:tc>
          <w:tcPr>
            <w:tcW w:type="dxa" w:w="348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pPr>
              <w:spacing w:after="0"/>
            </w:pPr>
            <w:r>
              <w:rPr>
                <w:b w:val="false"/>
                <w:bCs w:val="false"/>
                <w:sz w:val="20"/>
                <w:szCs w:val="20"/>
              </w:rPr>
              <w:t xml:space="preserve">DR site, replication, backup infrastructure and recovery execution</w:t>
            </w:r>
          </w:p>
        </w:tc>
      </w:tr>
    </w:tbl>
    <w:p>
      <w:pPr>
        <w:pStyle w:val="Heading1"/>
        <w:spacing w:after="160" w:before="360"/>
      </w:pPr>
      <w:r>
        <w:t xml:space="preserve">20. Final Technical Position</w:t>
      </w:r>
    </w:p>
    <w:p>
      <w:pPr>
        <w:spacing w:after="160" w:line="276"/>
      </w:pPr>
      <w:r>
        <w:t>WeasyPrint is the one dependency worth actively re-scoping out of the Windows stack rather than accommodating, given its multi-year history of native-library breakage on Windows; Puppeteer/Chromium alone covers the PDF rendering need effectively when Devanagari fonts (Nirmala UI / Mangal) are installed. Additionally, PostgreSQL native streaming replication with VIP/DNS failover provides a simpler, safer HA architecture than WSFC shared storage, and Node.js native connection pooling eliminates the need for PgBouncer at this concurrency level.</w:t>
      </w:r>
    </w:p>
    <w:p>
      <w:pPr>
        <w:spacing w:after="160" w:line="276"/>
      </w:pPr>
      <w:r>
        <w:t xml:space="preserve">At the stated PHAROS scale, RabbitMQ and Memurai are appropriate supporting technologies and should not be treated as the primary scalability concern; PostgreSQL performance, reporting/analytics queries, report-worker concurrency, storage throughput and network behavior remain the more important areas for capacity validation — this holds regardless of operating system. The infrastructure team should treat this document as a concrete engineering baseline for discussion, challenge and testing on the actual Windows Server release Police IT selects, not as an inflexible hardware prescription.</w:t>
      </w:r>
    </w:p>
    <w:p>
      <w:pPr>
        <w:pStyle w:val="Heading1"/>
        <w:spacing w:after="160" w:before="360"/>
      </w:pPr>
      <w:r>
        <w:t xml:space="preserve">21. Reference Basis</w:t>
      </w:r>
    </w:p>
    <w:p>
      <w:pPr>
        <w:pStyle w:val="ListParagraph"/>
        <w:numPr>
          <w:ilvl w:val="0"/>
          <w:numId w:val="2"/>
        </w:numPr>
        <w:spacing w:after="90" w:line="276"/>
      </w:pPr>
      <w:r>
        <w:t xml:space="preserve">PHAROS Technical &amp; Infrastructure Requirements — Delhi-wide and district-level capacity assessment.</w:t>
      </w:r>
    </w:p>
    <w:p>
      <w:pPr>
        <w:pStyle w:val="ListParagraph"/>
        <w:numPr>
          <w:ilvl w:val="0"/>
          <w:numId w:val="2"/>
        </w:numPr>
        <w:spacing w:after="90" w:line="276"/>
      </w:pPr>
      <w:r>
        <w:t xml:space="preserve">PHAROS On-Premises Infrastructure Requirements &amp; IT Decision Boundaries.</w:t>
      </w:r>
    </w:p>
    <w:p>
      <w:pPr>
        <w:pStyle w:val="ListParagraph"/>
        <w:numPr>
          <w:ilvl w:val="0"/>
          <w:numId w:val="2"/>
        </w:numPr>
        <w:spacing w:after="90" w:line="276"/>
      </w:pPr>
      <w:r>
        <w:t xml:space="preserve">Current PHAROS application architecture and reporting requirements as documented for the project.</w:t>
      </w:r>
    </w:p>
    <w:p>
      <w:pPr>
        <w:pStyle w:val="ListParagraph"/>
        <w:numPr>
          <w:ilvl w:val="0"/>
          <w:numId w:val="2"/>
        </w:numPr>
        <w:spacing w:after="90" w:line="276"/>
      </w:pPr>
      <w:r>
        <w:t xml:space="preserve">Vendor documentation and current release/support status for Windows Server 2025, Node.js, PostgreSQL/EDB, RabbitMQ, Redis/Memurai, WeasyPrint, PgBouncer, Patroni, pgBackRest, and nginx, consulted to state each Windows compatibility position accurately as of September 2026.</w:t>
      </w:r>
    </w:p>
    <w:p>
      <w:pPr>
        <w:spacing w:after="160" w:line="276"/>
      </w:pPr>
      <w:r>
        <w:t xml:space="preserve">The core capacity baseline, centralized architecture, concurrency profile, storage model, and general security/operational recommendations are grounded in the existing PHAROS infrastructure assessment; the Windows Server compatibility positions in Sections 6, 9, 10, 12, 13, 17 and 18 reflect the current, verifiable support status of each named product rather than the original Linux-first assumptions.</w:t>
      </w:r>
    </w:p>
    <w:p>
      <w:pPr>
        <w:pStyle w:val="Heading1"/>
        <w:spacing w:after="160" w:before="360"/>
      </w:pPr>
      <w:r>
        <w:t xml:space="preserve">22. Data Storage Scope Clarification</w:t>
      </w:r>
    </w:p>
    <w:p>
      <w:pPr>
        <w:spacing w:after="160" w:line="276"/>
      </w:pPr>
      <w:r>
        <w:rPr>
          <w:b/>
          <w:bCs/>
        </w:rPr>
        <w:t xml:space="preserve">PHAROS has no file input path from users: </w:t>
      </w:r>
      <w:r>
        <w:t xml:space="preserve">PHAROS accepts no attachment, image, PDF, scanned document, or bulk-import file from users in any workflow — there is no upload capability anywhere in the current application, not for evidence/media and not for data import. The only file movement in the system is outbound: authorized users download the Excel/PDF reports the application generates. Accordingly, the infrastructure baseline must not assume storage, bandwidth, virus-scanning, or validation capacity for inbound user files of any kind, and Section 7 accordingly contains no bulk-import or file-upload workflow. Storage planning shall focus on structured application data, audit/history/workflow data, reporting metadata, and the generated Excel/PDF report files described in Sections 4 and 16. If a future phase introduces any form of file upload — evidence attachment, bulk data import, or otherwise — its storage, bandwidth, security, validation, retention and backup requirements must be specified as an entirely separate change, not assumed or pre-provisioned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CCE4" w:sz="8" w:space="4"/>
      </w:pBd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2E5395"/>
      <w:sz w:val="26"/>
      <w:szCs w:val="26"/>
    </w:rPr>
  </w:style>
  <w:style w:type="paragraph" w:styleId="Heading3">
    <w:name w:val="Heading 3"/>
    <w:basedOn w:val="Normal"/>
    <w:next w:val="Normal"/>
    <w:qFormat/>
    <w:pPr>
      <w:spacing w:after="100" w:before="200"/>
    </w:pPr>
    <w:rPr>
      <w:rFonts w:ascii="Calibri" w:cs="Calibri" w:eastAsia="Calibri" w:hAnsi="Calibri"/>
      <w:b/>
      <w:bCs/>
      <w:i/>
      <w:iCs/>
      <w:color w:val="2E5395"/>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2026-09-21T06:12:32.180Z</dcterms:created>
  <dcterms:modified xsi:type="dcterms:W3CDTF">2026-09-21T06:12:32.188Z</dcterms:modified>
</cp:coreProperties>
</file>

<file path=docProps/custom.xml><?xml version="1.0" encoding="utf-8"?>
<Properties xmlns="http://schemas.openxmlformats.org/officeDocument/2006/custom-properties" xmlns:vt="http://schemas.openxmlformats.org/officeDocument/2006/docPropsVTypes"/>
</file>