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C0392B"/>
          <w:sz w:val="24"/>
        </w:rPr>
        <w:t>CONFIDENTIAL</w:t>
      </w:r>
    </w:p>
    <w:p>
      <w:pPr>
        <w:jc w:val="center"/>
      </w:pPr>
      <w:r>
        <w:rPr>
          <w:b/>
          <w:color w:val="1B4332"/>
          <w:sz w:val="64"/>
        </w:rPr>
        <w:t>[Company Name]</w:t>
      </w:r>
    </w:p>
    <w:p>
      <w:pPr>
        <w:jc w:val="center"/>
      </w:pPr>
      <w:r>
        <w:rPr>
          <w:color w:val="52786B"/>
          <w:sz w:val="32"/>
        </w:rPr>
        <w:t>ESG + Supply Chain Risk Management Platform</w:t>
      </w:r>
    </w:p>
    <w:p/>
    <w:p>
      <w:pPr>
        <w:jc w:val="center"/>
      </w:pPr>
      <w:r>
        <w:rPr>
          <w:sz w:val="28"/>
        </w:rPr>
        <w:t>Investor Pre-Read</w:t>
      </w:r>
    </w:p>
    <w:p>
      <w:pPr>
        <w:jc w:val="center"/>
      </w:pPr>
      <w:r>
        <w:rPr>
          <w:i/>
          <w:sz w:val="24"/>
        </w:rPr>
        <w:t>Seed Round — [Date]</w:t>
      </w:r>
    </w:p>
    <w:p/>
    <w:p>
      <w:pPr>
        <w:jc w:val="center"/>
      </w:pPr>
      <w:r>
        <w:rPr>
          <w:sz w:val="22"/>
        </w:rPr>
        <w:t>Prepared by [Founders]</w:t>
      </w:r>
    </w:p>
    <w:p>
      <w:r>
        <w:br w:type="page"/>
      </w:r>
    </w:p>
    <w:p>
      <w:pPr>
        <w:pStyle w:val="Heading1"/>
      </w:pPr>
      <w:r>
        <w:rPr>
          <w:color w:val="1B4332"/>
        </w:rPr>
        <w:t>Table of Contents</w:t>
      </w:r>
    </w:p>
    <w:p>
      <w:r>
        <w:rPr>
          <w:b w:val="0"/>
          <w:sz w:val="20"/>
        </w:rPr>
        <w:t>1. Executive Summary</w:t>
      </w:r>
    </w:p>
    <w:p>
      <w:r>
        <w:rPr>
          <w:b w:val="0"/>
          <w:sz w:val="20"/>
        </w:rPr>
        <w:t>2. The Problem</w:t>
      </w:r>
    </w:p>
    <w:p>
      <w:r>
        <w:rPr>
          <w:b w:val="0"/>
          <w:sz w:val="20"/>
        </w:rPr>
        <w:t>3. Our Solution</w:t>
      </w:r>
    </w:p>
    <w:p>
      <w:r>
        <w:rPr>
          <w:b w:val="0"/>
          <w:sz w:val="20"/>
        </w:rPr>
        <w:t>4. Technical Overview</w:t>
      </w:r>
    </w:p>
    <w:p>
      <w:r>
        <w:rPr>
          <w:b w:val="0"/>
          <w:sz w:val="20"/>
        </w:rPr>
        <w:t>5. Market Opportunity</w:t>
      </w:r>
    </w:p>
    <w:p>
      <w:r>
        <w:rPr>
          <w:b w:val="0"/>
          <w:sz w:val="20"/>
        </w:rPr>
        <w:t>6. Competitive Landscape</w:t>
      </w:r>
    </w:p>
    <w:p>
      <w:r>
        <w:rPr>
          <w:b w:val="0"/>
          <w:sz w:val="20"/>
        </w:rPr>
        <w:t>7. Business Model</w:t>
      </w:r>
    </w:p>
    <w:p>
      <w:r>
        <w:rPr>
          <w:b w:val="0"/>
          <w:sz w:val="20"/>
        </w:rPr>
        <w:t>8. Go-to-Market Strategy</w:t>
      </w:r>
    </w:p>
    <w:p>
      <w:r>
        <w:rPr>
          <w:b w:val="0"/>
          <w:sz w:val="20"/>
        </w:rPr>
        <w:t>9. Team</w:t>
      </w:r>
    </w:p>
    <w:p>
      <w:r>
        <w:rPr>
          <w:b w:val="0"/>
          <w:sz w:val="20"/>
        </w:rPr>
        <w:t>10. 90-Day Milestone Plan</w:t>
      </w:r>
    </w:p>
    <w:p>
      <w:r>
        <w:rPr>
          <w:b w:val="0"/>
          <w:sz w:val="20"/>
        </w:rPr>
        <w:t>11. The Ask</w:t>
      </w:r>
    </w:p>
    <w:p>
      <w:r>
        <w:rPr>
          <w:b w:val="0"/>
          <w:sz w:val="20"/>
        </w:rPr>
        <w:t>12. Why Now</w:t>
      </w:r>
    </w:p>
    <w:p>
      <w:r>
        <w:br w:type="page"/>
      </w:r>
    </w:p>
    <w:p>
      <w:pPr>
        <w:pStyle w:val="Heading1"/>
      </w:pPr>
      <w:r>
        <w:rPr>
          <w:color w:val="1B4332"/>
        </w:rPr>
        <w:t>1. Executive Summary</w:t>
      </w:r>
    </w:p>
    <w:p>
      <w:r>
        <w:rPr>
          <w:b w:val="0"/>
          <w:sz w:val="20"/>
        </w:rPr>
        <w:t>[Company Name] is building the first integrated ESG compliance + Supply Chain Risk Management platform purpose-built for mid-market companies (500–5,000 employees) globally.</w:t>
      </w:r>
    </w:p>
    <w:p>
      <w:r>
        <w:rPr>
          <w:b w:val="0"/>
          <w:sz w:val="20"/>
        </w:rPr>
        <w:t>The Problem: Mid-market companies face a tsunami of ESG compliance requirements from buyers, regulators, and frameworks — but they're still using Excel and email to manage it. The same data is entered 8–12 times per year in different formats.</w:t>
      </w:r>
    </w:p>
    <w:p>
      <w:r>
        <w:rPr>
          <w:b w:val="0"/>
          <w:sz w:val="20"/>
        </w:rPr>
        <w:t>The Solution: One platform that auto-maps data across frameworks (CSRD, ISSB, GRI, TCFD), collects supplier data via messaging apps (WhatsApp/LINE/WeChat), monitors supply chain risk in real-time, and translates everything into CFO-ready ROI metrics.</w:t>
      </w:r>
    </w:p>
    <w:p>
      <w:r>
        <w:rPr>
          <w:b w:val="0"/>
          <w:sz w:val="20"/>
        </w:rPr>
        <w:t>The Ask: $1.5–2.5M seed round to reach 30–50 customers in 18 months.</w:t>
      </w:r>
    </w:p>
    <w:p>
      <w:r>
        <w:br w:type="page"/>
      </w:r>
    </w:p>
    <w:p>
      <w:pPr>
        <w:pStyle w:val="Heading1"/>
      </w:pPr>
      <w:r>
        <w:rPr>
          <w:color w:val="1B4332"/>
        </w:rPr>
        <w:t>2. The Problem</w:t>
      </w:r>
    </w:p>
    <w:p>
      <w:pPr>
        <w:pStyle w:val="Heading2"/>
      </w:pPr>
      <w:r>
        <w:rPr>
          <w:color w:val="1B4332"/>
        </w:rPr>
        <w:t>The Compliance Cascade</w:t>
      </w:r>
    </w:p>
    <w:p>
      <w:r>
        <w:rPr>
          <w:b w:val="0"/>
          <w:sz w:val="20"/>
        </w:rPr>
        <w:t>EU regulations (CSRD, CSDDD, EUDR, CBAM) now require companies to report ESG data AND ensure their suppliers meet ESG standards. This creates a compliance cascade — a mid-market garment factory in Bangladesh must now report to H&amp;M, Zara, Primark, C&amp;A, and Marks &amp; Spencer, each with different formats and frameworks.</w:t>
      </w:r>
    </w:p>
    <w:p>
      <w:pPr>
        <w:pStyle w:val="Heading2"/>
      </w:pPr>
      <w:r>
        <w:rPr>
          <w:color w:val="1B4332"/>
        </w:rPr>
        <w:t>How Companies Handle It Today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332" w:val="clear"/>
          </w:tcPr>
          <w:p>
            <w:r/>
            <w:r>
              <w:rPr>
                <w:b/>
                <w:color w:val="FFFFFF"/>
                <w:sz w:val="18"/>
              </w:rPr>
              <w:t>Method</w:t>
            </w:r>
          </w:p>
        </w:tc>
        <w:tc>
          <w:tcPr>
            <w:tcW w:type="dxa" w:w="2880"/>
            <w:shd w:fill="1B4332" w:val="clear"/>
          </w:tcPr>
          <w:p>
            <w:r/>
            <w:r>
              <w:rPr>
                <w:b/>
                <w:color w:val="FFFFFF"/>
                <w:sz w:val="18"/>
              </w:rPr>
              <w:t>% of Companies</w:t>
            </w:r>
          </w:p>
        </w:tc>
        <w:tc>
          <w:tcPr>
            <w:tcW w:type="dxa" w:w="2880"/>
            <w:shd w:fill="1B4332" w:val="clear"/>
          </w:tcPr>
          <w:p>
            <w:r/>
            <w:r>
              <w:rPr>
                <w:b/>
                <w:color w:val="FFFFFF"/>
                <w:sz w:val="18"/>
              </w:rPr>
              <w:t>Cost</w:t>
            </w:r>
          </w:p>
        </w:tc>
      </w:tr>
      <w:tr>
        <w:tc>
          <w:tcPr>
            <w:tcW w:type="dxa" w:w="2880"/>
          </w:tcPr>
          <w:p>
            <w:r/>
            <w:r>
              <w:rPr>
                <w:sz w:val="18"/>
              </w:rPr>
              <w:t>Excel + Email</w:t>
            </w:r>
          </w:p>
        </w:tc>
        <w:tc>
          <w:tcPr>
            <w:tcW w:type="dxa" w:w="2880"/>
          </w:tcPr>
          <w:p>
            <w:r/>
            <w:r>
              <w:rPr>
                <w:sz w:val="18"/>
              </w:rPr>
              <w:t>70–80%</w:t>
            </w:r>
          </w:p>
        </w:tc>
        <w:tc>
          <w:tcPr>
            <w:tcW w:type="dxa" w:w="2880"/>
          </w:tcPr>
          <w:p>
            <w:r/>
            <w:r>
              <w:rPr>
                <w:sz w:val="18"/>
              </w:rPr>
              <w:t>40–60 hours per cycle, poor data quality, no audit trail</w:t>
            </w:r>
          </w:p>
        </w:tc>
      </w:tr>
      <w:tr>
        <w:tc>
          <w:tcPr>
            <w:tcW w:type="dxa" w:w="2880"/>
          </w:tcPr>
          <w:p>
            <w:r/>
            <w:r>
              <w:rPr>
                <w:sz w:val="18"/>
              </w:rPr>
              <w:t>Consultant + PowerPoint</w:t>
            </w:r>
          </w:p>
        </w:tc>
        <w:tc>
          <w:tcPr>
            <w:tcW w:type="dxa" w:w="2880"/>
          </w:tcPr>
          <w:p>
            <w:r/>
            <w:r>
              <w:rPr>
                <w:sz w:val="18"/>
              </w:rPr>
              <w:t>15–20%</w:t>
            </w:r>
          </w:p>
        </w:tc>
        <w:tc>
          <w:tcPr>
            <w:tcW w:type="dxa" w:w="2880"/>
          </w:tcPr>
          <w:p>
            <w:r/>
            <w:r>
              <w:rPr>
                <w:sz w:val="18"/>
              </w:rPr>
              <w:t>$10–30K per report, static, no year-over-year continuity</w:t>
            </w:r>
          </w:p>
        </w:tc>
      </w:tr>
      <w:tr>
        <w:tc>
          <w:tcPr>
            <w:tcW w:type="dxa" w:w="2880"/>
          </w:tcPr>
          <w:p>
            <w:r/>
            <w:r>
              <w:rPr>
                <w:sz w:val="18"/>
              </w:rPr>
              <w:t>Point Solutions (EcoVadis, CDP)</w:t>
            </w:r>
          </w:p>
        </w:tc>
        <w:tc>
          <w:tcPr>
            <w:tcW w:type="dxa" w:w="2880"/>
          </w:tcPr>
          <w:p>
            <w:r/>
            <w:r>
              <w:rPr>
                <w:sz w:val="18"/>
              </w:rPr>
              <w:t>5–10%</w:t>
            </w:r>
          </w:p>
        </w:tc>
        <w:tc>
          <w:tcPr>
            <w:tcW w:type="dxa" w:w="2880"/>
          </w:tcPr>
          <w:p>
            <w:r/>
            <w:r>
              <w:rPr>
                <w:sz w:val="18"/>
              </w:rPr>
              <w:t>$5–15K per tool, fragmented, no unified view</w:t>
            </w:r>
          </w:p>
        </w:tc>
      </w:tr>
      <w:tr>
        <w:tc>
          <w:tcPr>
            <w:tcW w:type="dxa" w:w="2880"/>
          </w:tcPr>
          <w:p>
            <w:r/>
            <w:r>
              <w:rPr>
                <w:sz w:val="18"/>
              </w:rPr>
              <w:t>Nothing</w:t>
            </w:r>
          </w:p>
        </w:tc>
        <w:tc>
          <w:tcPr>
            <w:tcW w:type="dxa" w:w="2880"/>
          </w:tcPr>
          <w:p>
            <w:r/>
            <w:r>
              <w:rPr>
                <w:sz w:val="18"/>
              </w:rPr>
              <w:t>5–10%</w:t>
            </w:r>
          </w:p>
        </w:tc>
        <w:tc>
          <w:tcPr>
            <w:tcW w:type="dxa" w:w="2880"/>
          </w:tcPr>
          <w:p>
            <w:r/>
            <w:r>
              <w:rPr>
                <w:sz w:val="18"/>
              </w:rPr>
              <w:t>Risk of losing major buyer contracts</w:t>
            </w:r>
          </w:p>
        </w:tc>
      </w:tr>
    </w:tbl>
    <w:p>
      <w:pPr>
        <w:pStyle w:val="Heading2"/>
      </w:pPr>
      <w:r>
        <w:rPr>
          <w:color w:val="1B4332"/>
        </w:rPr>
        <w:t>Not One Questionnaire — Ten</w:t>
      </w:r>
    </w:p>
    <w:p>
      <w:r>
        <w:rPr>
          <w:b w:val="0"/>
          <w:sz w:val="20"/>
        </w:rPr>
        <w:t>A typical garment factory receives 8–12 buyer questionnaires per year, each requesting the same ESG data in different formats. H&amp;M sends an Excel template in January. Zara sends a web portal link in February. Primark sends a PDF in March. The same data — emissions, water usage, labor practices — is re-entered from scratch each time.</w:t>
      </w:r>
    </w:p>
    <w:p>
      <w:r>
        <w:br w:type="page"/>
      </w:r>
    </w:p>
    <w:p>
      <w:pPr>
        <w:pStyle w:val="Heading1"/>
      </w:pPr>
      <w:r>
        <w:rPr>
          <w:color w:val="1B4332"/>
        </w:rPr>
        <w:t>3. Our Solution</w:t>
      </w:r>
    </w:p>
    <w:p>
      <w:r>
        <w:rPr>
          <w:b w:val="0"/>
          <w:sz w:val="20"/>
        </w:rPr>
        <w:t>An integrated ESG + SCRM platform with 9 core capabilities:</w:t>
      </w:r>
    </w:p>
    <w:p>
      <w:r>
        <w:rPr>
          <w:b/>
          <w:sz w:val="20"/>
        </w:rPr>
        <w:t>1. ESG Data Orchestration Platform</w:t>
      </w:r>
    </w:p>
    <w:p>
      <w:r>
        <w:rPr>
          <w:b w:val="0"/>
          <w:sz w:val="20"/>
        </w:rPr>
        <w:t>A mapping engine that takes one internal KPI and outputs it across multiple frameworks (CSRD, ISSB, GRI, TCFD). One data entry, multiple framework outputs.</w:t>
      </w:r>
    </w:p>
    <w:p>
      <w:r>
        <w:rPr>
          <w:b/>
          <w:sz w:val="20"/>
        </w:rPr>
        <w:t>2. Supply-Chain ESG Data Collection</w:t>
      </w:r>
    </w:p>
    <w:p>
      <w:r>
        <w:rPr>
          <w:b w:val="0"/>
          <w:sz w:val="20"/>
        </w:rPr>
        <w:t>Automated supplier questionnaires and data feeds for Scope 3 emissions. Suppliers respond via WhatsApp/LINE/WeChat — not email portals.</w:t>
      </w:r>
    </w:p>
    <w:p>
      <w:r>
        <w:rPr>
          <w:b/>
          <w:sz w:val="20"/>
        </w:rPr>
        <w:t>3. Assurance-Ready Evidence Vault</w:t>
      </w:r>
    </w:p>
    <w:p>
      <w:r>
        <w:rPr>
          <w:b w:val="0"/>
          <w:sz w:val="20"/>
        </w:rPr>
        <w:t>Full audit trail with data lineage. Every number tagged with source, methodology, and confidence level. Big 4 auditors can verify without manual evidence gathering.</w:t>
      </w:r>
    </w:p>
    <w:p>
      <w:r>
        <w:rPr>
          <w:b/>
          <w:sz w:val="20"/>
        </w:rPr>
        <w:t>4. ESG ROI Engine</w:t>
      </w:r>
    </w:p>
    <w:p>
      <w:r>
        <w:rPr>
          <w:b w:val="0"/>
          <w:sz w:val="20"/>
        </w:rPr>
        <w:t>Translates ESG activities into financial metrics — cost savings, risk reduction, brand value. CFOs see ROI, not just compliance cost.</w:t>
      </w:r>
    </w:p>
    <w:p>
      <w:r>
        <w:rPr>
          <w:b/>
          <w:sz w:val="20"/>
        </w:rPr>
        <w:t>5. Mid-Market ESG Reporting in a Box</w:t>
      </w:r>
    </w:p>
    <w:p>
      <w:r>
        <w:rPr>
          <w:b w:val="0"/>
          <w:sz w:val="20"/>
        </w:rPr>
        <w:t>Turnkey solution for companies that can't afford Persefoni or Watershed. 3–6 week implementation vs 3–6 months.</w:t>
      </w:r>
    </w:p>
    <w:p>
      <w:r>
        <w:rPr>
          <w:b/>
          <w:sz w:val="20"/>
        </w:rPr>
        <w:t>6. Real-Time ESG Monitoring (NEW)</w:t>
      </w:r>
    </w:p>
    <w:p>
      <w:r>
        <w:rPr>
          <w:b w:val="0"/>
          <w:sz w:val="20"/>
        </w:rPr>
        <w:t>Live sustainability command center connecting to existing IoT sensors and ERP systems. Real-time emissions, energy, and resource monitoring with threshold alerts. Mid-market export manufacturers already have smart meters, PLC-controlled lines, and building management systems — we read existing sensor data through ERP integrations.</w:t>
      </w:r>
    </w:p>
    <w:p>
      <w:r>
        <w:rPr>
          <w:b/>
          <w:sz w:val="20"/>
        </w:rPr>
        <w:t>7. AI Sustainability Copilot (NEW — 3-6 months)</w:t>
      </w:r>
    </w:p>
    <w:p>
      <w:r>
        <w:rPr>
          <w:b w:val="0"/>
          <w:sz w:val="20"/>
        </w:rPr>
        <w:t>Conversational AI that auto-fills questionnaires, generates ESG policies, suggests improvements, and provides step-by-step roadmaps. Ask 'How do I improve from score 62 to 75?' and get an actionable plan.</w:t>
      </w:r>
    </w:p>
    <w:p>
      <w:r>
        <w:rPr>
          <w:b/>
          <w:sz w:val="20"/>
        </w:rPr>
        <w:t>8. Supplier Intelligence Graph (NEW — 3-6 months v1)</w:t>
      </w:r>
    </w:p>
    <w:p>
      <w:r>
        <w:rPr>
          <w:b w:val="0"/>
          <w:sz w:val="20"/>
        </w:rPr>
        <w:t>Independent supplier risk intelligence using news APIs, sanctions lists (OFAC, EU), trade data, and ESG violation databases. Independent truth vs declared truth — the score doesn't depend on supplier self-reporting.</w:t>
      </w:r>
    </w:p>
    <w:p>
      <w:r>
        <w:rPr>
          <w:b/>
          <w:sz w:val="20"/>
        </w:rPr>
        <w:t>9. Supplier ESG-Risk Scorecard (SCRM Layer)</w:t>
      </w:r>
    </w:p>
    <w:p>
      <w:r>
        <w:rPr>
          <w:b w:val="0"/>
          <w:sz w:val="20"/>
        </w:rPr>
        <w:t>Buyers assess, monitor, and score suppliers on ESG + disruption risk + financial health + geopolitical risk. Integrated with procurement workflows.</w:t>
      </w:r>
    </w:p>
    <w:p>
      <w:r>
        <w:br w:type="page"/>
      </w:r>
    </w:p>
    <w:p>
      <w:pPr>
        <w:pStyle w:val="Heading1"/>
      </w:pPr>
      <w:r>
        <w:rPr>
          <w:color w:val="1B4332"/>
        </w:rPr>
        <w:t>4. Technical Overview</w:t>
      </w:r>
    </w:p>
    <w:p>
      <w:pPr>
        <w:pStyle w:val="Heading2"/>
      </w:pPr>
      <w:r>
        <w:rPr>
          <w:color w:val="1B4332"/>
        </w:rPr>
        <w:t>Emission Calculation Methods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332" w:val="clear"/>
          </w:tcPr>
          <w:p>
            <w:r/>
            <w:r>
              <w:rPr>
                <w:b/>
                <w:color w:val="FFFFFF"/>
                <w:sz w:val="18"/>
              </w:rPr>
              <w:t>Method</w:t>
            </w:r>
          </w:p>
        </w:tc>
        <w:tc>
          <w:tcPr>
            <w:tcW w:type="dxa" w:w="2880"/>
            <w:shd w:fill="1B4332" w:val="clear"/>
          </w:tcPr>
          <w:p>
            <w:r/>
            <w:r>
              <w:rPr>
                <w:b/>
                <w:color w:val="FFFFFF"/>
                <w:sz w:val="18"/>
              </w:rPr>
              <w:t>How It Works</w:t>
            </w:r>
          </w:p>
        </w:tc>
        <w:tc>
          <w:tcPr>
            <w:tcW w:type="dxa" w:w="2880"/>
            <w:shd w:fill="1B4332" w:val="clear"/>
          </w:tcPr>
          <w:p>
            <w:r/>
            <w:r>
              <w:rPr>
                <w:b/>
                <w:color w:val="FFFFFF"/>
                <w:sz w:val="18"/>
              </w:rPr>
              <w:t>Confidence</w:t>
            </w:r>
          </w:p>
        </w:tc>
      </w:tr>
      <w:tr>
        <w:tc>
          <w:tcPr>
            <w:tcW w:type="dxa" w:w="2880"/>
          </w:tcPr>
          <w:p>
            <w:r/>
            <w:r>
              <w:rPr>
                <w:sz w:val="18"/>
              </w:rPr>
              <w:t>Direct Measurement</w:t>
            </w:r>
          </w:p>
        </w:tc>
        <w:tc>
          <w:tcPr>
            <w:tcW w:type="dxa" w:w="2880"/>
          </w:tcPr>
          <w:p>
            <w:r/>
            <w:r>
              <w:rPr>
                <w:sz w:val="18"/>
              </w:rPr>
              <w:t>Physical meter or sensor reading</w:t>
            </w:r>
          </w:p>
        </w:tc>
        <w:tc>
          <w:tcPr>
            <w:tcW w:type="dxa" w:w="2880"/>
          </w:tcPr>
          <w:p>
            <w:r/>
            <w:r>
              <w:rPr>
                <w:sz w:val="18"/>
              </w:rPr>
              <w:t>HIGH</w:t>
            </w:r>
          </w:p>
        </w:tc>
      </w:tr>
      <w:tr>
        <w:tc>
          <w:tcPr>
            <w:tcW w:type="dxa" w:w="2880"/>
          </w:tcPr>
          <w:p>
            <w:r/>
            <w:r>
              <w:rPr>
                <w:sz w:val="18"/>
              </w:rPr>
              <w:t>Activity-Based Calculation</w:t>
            </w:r>
          </w:p>
        </w:tc>
        <w:tc>
          <w:tcPr>
            <w:tcW w:type="dxa" w:w="2880"/>
          </w:tcPr>
          <w:p>
            <w:r/>
            <w:r>
              <w:rPr>
                <w:sz w:val="18"/>
              </w:rPr>
              <w:t>Activity data × published emission factor</w:t>
            </w:r>
          </w:p>
        </w:tc>
        <w:tc>
          <w:tcPr>
            <w:tcW w:type="dxa" w:w="2880"/>
          </w:tcPr>
          <w:p>
            <w:r/>
            <w:r>
              <w:rPr>
                <w:sz w:val="18"/>
              </w:rPr>
              <w:t>MEDIUM</w:t>
            </w:r>
          </w:p>
        </w:tc>
      </w:tr>
      <w:tr>
        <w:tc>
          <w:tcPr>
            <w:tcW w:type="dxa" w:w="2880"/>
          </w:tcPr>
          <w:p>
            <w:r/>
            <w:r>
              <w:rPr>
                <w:sz w:val="18"/>
              </w:rPr>
              <w:t>Spend-Based Estimate</w:t>
            </w:r>
          </w:p>
        </w:tc>
        <w:tc>
          <w:tcPr>
            <w:tcW w:type="dxa" w:w="2880"/>
          </w:tcPr>
          <w:p>
            <w:r/>
            <w:r>
              <w:rPr>
                <w:sz w:val="18"/>
              </w:rPr>
              <w:t>Financial spend × industry emission factor</w:t>
            </w:r>
          </w:p>
        </w:tc>
        <w:tc>
          <w:tcPr>
            <w:tcW w:type="dxa" w:w="2880"/>
          </w:tcPr>
          <w:p>
            <w:r/>
            <w:r>
              <w:rPr>
                <w:sz w:val="18"/>
              </w:rPr>
              <w:t>LOW</w:t>
            </w:r>
          </w:p>
        </w:tc>
      </w:tr>
    </w:tbl>
    <w:p>
      <w:r>
        <w:rPr>
          <w:b w:val="0"/>
          <w:sz w:val="20"/>
        </w:rPr>
        <w:t>The tool always uses the best available method. Every data point is tagged with method, source, and confidence level. Emission factor databases: GHG Protocol, DEFRA, IPCC, EPA, IEA, Ecoinvent.</w:t>
      </w:r>
    </w:p>
    <w:p>
      <w:pPr>
        <w:pStyle w:val="Heading2"/>
      </w:pPr>
      <w:r>
        <w:rPr>
          <w:color w:val="1B4332"/>
        </w:rPr>
        <w:t>ERP Integrations</w:t>
      </w:r>
    </w:p>
    <w:tbl>
      <w:tblPr>
        <w:tblStyle w:val="TableGrid"/>
        <w:tblW w:type="auto" w:w="0"/>
        <w:jc w:val="center"/>
        <w:tblLook w:firstColumn="1" w:firstRow="1" w:lastColumn="0" w:lastRow="0" w:noHBand="0" w:noVBand="1" w:val="04A0"/>
      </w:tblPr>
      <w:tblGrid>
        <w:gridCol w:w="4320"/>
        <w:gridCol w:w="4320"/>
      </w:tblGrid>
      <w:tr>
        <w:tc>
          <w:tcPr>
            <w:tcW w:type="dxa" w:w="4320"/>
            <w:shd w:fill="1B4332" w:val="clear"/>
          </w:tcPr>
          <w:p>
            <w:r/>
            <w:r>
              <w:rPr>
                <w:b/>
                <w:color w:val="FFFFFF"/>
                <w:sz w:val="18"/>
              </w:rPr>
              <w:t>System</w:t>
            </w:r>
          </w:p>
        </w:tc>
        <w:tc>
          <w:tcPr>
            <w:tcW w:type="dxa" w:w="4320"/>
            <w:shd w:fill="1B4332" w:val="clear"/>
          </w:tcPr>
          <w:p>
            <w:r/>
            <w:r>
              <w:rPr>
                <w:b/>
                <w:color w:val="FFFFFF"/>
                <w:sz w:val="18"/>
              </w:rPr>
              <w:t>Use Case</w:t>
            </w:r>
          </w:p>
        </w:tc>
      </w:tr>
      <w:tr>
        <w:tc>
          <w:tcPr>
            <w:tcW w:type="dxa" w:w="4320"/>
          </w:tcPr>
          <w:p>
            <w:r/>
            <w:r>
              <w:rPr>
                <w:sz w:val="18"/>
              </w:rPr>
              <w:t>SAP S/4HANA</w:t>
            </w:r>
          </w:p>
        </w:tc>
        <w:tc>
          <w:tcPr>
            <w:tcW w:type="dxa" w:w="4320"/>
          </w:tcPr>
          <w:p>
            <w:r/>
            <w:r>
              <w:rPr>
                <w:sz w:val="18"/>
              </w:rPr>
              <w:t>Enterprise ERP — procurement, finance, utility data</w:t>
            </w:r>
          </w:p>
        </w:tc>
      </w:tr>
      <w:tr>
        <w:tc>
          <w:tcPr>
            <w:tcW w:type="dxa" w:w="4320"/>
          </w:tcPr>
          <w:p>
            <w:r/>
            <w:r>
              <w:rPr>
                <w:sz w:val="18"/>
              </w:rPr>
              <w:t>SAP ECC</w:t>
            </w:r>
          </w:p>
        </w:tc>
        <w:tc>
          <w:tcPr>
            <w:tcW w:type="dxa" w:w="4320"/>
          </w:tcPr>
          <w:p>
            <w:r/>
            <w:r>
              <w:rPr>
                <w:sz w:val="18"/>
              </w:rPr>
              <w:t>Legacy SAP installations</w:t>
            </w:r>
          </w:p>
        </w:tc>
      </w:tr>
      <w:tr>
        <w:tc>
          <w:tcPr>
            <w:tcW w:type="dxa" w:w="4320"/>
          </w:tcPr>
          <w:p>
            <w:r/>
            <w:r>
              <w:rPr>
                <w:sz w:val="18"/>
              </w:rPr>
              <w:t>SAP Business One</w:t>
            </w:r>
          </w:p>
        </w:tc>
        <w:tc>
          <w:tcPr>
            <w:tcW w:type="dxa" w:w="4320"/>
          </w:tcPr>
          <w:p>
            <w:r/>
            <w:r>
              <w:rPr>
                <w:sz w:val="18"/>
              </w:rPr>
              <w:t>Mid-market ERP — primary target</w:t>
            </w:r>
          </w:p>
        </w:tc>
      </w:tr>
      <w:tr>
        <w:tc>
          <w:tcPr>
            <w:tcW w:type="dxa" w:w="4320"/>
          </w:tcPr>
          <w:p>
            <w:r/>
            <w:r>
              <w:rPr>
                <w:sz w:val="18"/>
              </w:rPr>
              <w:t>Oracle</w:t>
            </w:r>
          </w:p>
        </w:tc>
        <w:tc>
          <w:tcPr>
            <w:tcW w:type="dxa" w:w="4320"/>
          </w:tcPr>
          <w:p>
            <w:r/>
            <w:r>
              <w:rPr>
                <w:sz w:val="18"/>
              </w:rPr>
              <w:t>Enterprise financials + procurement</w:t>
            </w:r>
          </w:p>
        </w:tc>
      </w:tr>
      <w:tr>
        <w:tc>
          <w:tcPr>
            <w:tcW w:type="dxa" w:w="4320"/>
          </w:tcPr>
          <w:p>
            <w:r/>
            <w:r>
              <w:rPr>
                <w:sz w:val="18"/>
              </w:rPr>
              <w:t>NetSuite</w:t>
            </w:r>
          </w:p>
        </w:tc>
        <w:tc>
          <w:tcPr>
            <w:tcW w:type="dxa" w:w="4320"/>
          </w:tcPr>
          <w:p>
            <w:r/>
            <w:r>
              <w:rPr>
                <w:sz w:val="18"/>
              </w:rPr>
              <w:t>Cloud ERP for mid-market</w:t>
            </w:r>
          </w:p>
        </w:tc>
      </w:tr>
      <w:tr>
        <w:tc>
          <w:tcPr>
            <w:tcW w:type="dxa" w:w="4320"/>
          </w:tcPr>
          <w:p>
            <w:r/>
            <w:r>
              <w:rPr>
                <w:sz w:val="18"/>
              </w:rPr>
              <w:t>Xero</w:t>
            </w:r>
          </w:p>
        </w:tc>
        <w:tc>
          <w:tcPr>
            <w:tcW w:type="dxa" w:w="4320"/>
          </w:tcPr>
          <w:p>
            <w:r/>
            <w:r>
              <w:rPr>
                <w:sz w:val="18"/>
              </w:rPr>
              <w:t>SME accounting — entry point</w:t>
            </w:r>
          </w:p>
        </w:tc>
      </w:tr>
    </w:tbl>
    <w:p>
      <w:pPr>
        <w:pStyle w:val="Heading2"/>
      </w:pPr>
      <w:r>
        <w:rPr>
          <w:color w:val="1B4332"/>
        </w:rPr>
        <w:t>HRIS Integrations</w:t>
      </w:r>
    </w:p>
    <w:tbl>
      <w:tblPr>
        <w:tblStyle w:val="TableGrid"/>
        <w:tblW w:type="auto" w:w="0"/>
        <w:jc w:val="center"/>
        <w:tblLook w:firstColumn="1" w:firstRow="1" w:lastColumn="0" w:lastRow="0" w:noHBand="0" w:noVBand="1" w:val="04A0"/>
      </w:tblPr>
      <w:tblGrid>
        <w:gridCol w:w="4320"/>
        <w:gridCol w:w="4320"/>
      </w:tblGrid>
      <w:tr>
        <w:tc>
          <w:tcPr>
            <w:tcW w:type="dxa" w:w="4320"/>
            <w:shd w:fill="1B4332" w:val="clear"/>
          </w:tcPr>
          <w:p>
            <w:r/>
            <w:r>
              <w:rPr>
                <w:b/>
                <w:color w:val="FFFFFF"/>
                <w:sz w:val="18"/>
              </w:rPr>
              <w:t>System</w:t>
            </w:r>
          </w:p>
        </w:tc>
        <w:tc>
          <w:tcPr>
            <w:tcW w:type="dxa" w:w="4320"/>
            <w:shd w:fill="1B4332" w:val="clear"/>
          </w:tcPr>
          <w:p>
            <w:r/>
            <w:r>
              <w:rPr>
                <w:b/>
                <w:color w:val="FFFFFF"/>
                <w:sz w:val="18"/>
              </w:rPr>
              <w:t>Use Case</w:t>
            </w:r>
          </w:p>
        </w:tc>
      </w:tr>
      <w:tr>
        <w:tc>
          <w:tcPr>
            <w:tcW w:type="dxa" w:w="4320"/>
          </w:tcPr>
          <w:p>
            <w:r/>
            <w:r>
              <w:rPr>
                <w:sz w:val="18"/>
              </w:rPr>
              <w:t>Workday</w:t>
            </w:r>
          </w:p>
        </w:tc>
        <w:tc>
          <w:tcPr>
            <w:tcW w:type="dxa" w:w="4320"/>
          </w:tcPr>
          <w:p>
            <w:r/>
            <w:r>
              <w:rPr>
                <w:sz w:val="18"/>
              </w:rPr>
              <w:t>Enterprise HR — diversity, headcount, compensation data</w:t>
            </w:r>
          </w:p>
        </w:tc>
      </w:tr>
      <w:tr>
        <w:tc>
          <w:tcPr>
            <w:tcW w:type="dxa" w:w="4320"/>
          </w:tcPr>
          <w:p>
            <w:r/>
            <w:r>
              <w:rPr>
                <w:sz w:val="18"/>
              </w:rPr>
              <w:t>BambooHR</w:t>
            </w:r>
          </w:p>
        </w:tc>
        <w:tc>
          <w:tcPr>
            <w:tcW w:type="dxa" w:w="4320"/>
          </w:tcPr>
          <w:p>
            <w:r/>
            <w:r>
              <w:rPr>
                <w:sz w:val="18"/>
              </w:rPr>
              <w:t>Mid-market HRIS</w:t>
            </w:r>
          </w:p>
        </w:tc>
      </w:tr>
      <w:tr>
        <w:tc>
          <w:tcPr>
            <w:tcW w:type="dxa" w:w="4320"/>
          </w:tcPr>
          <w:p>
            <w:r/>
            <w:r>
              <w:rPr>
                <w:sz w:val="18"/>
              </w:rPr>
              <w:t>ADP</w:t>
            </w:r>
          </w:p>
        </w:tc>
        <w:tc>
          <w:tcPr>
            <w:tcW w:type="dxa" w:w="4320"/>
          </w:tcPr>
          <w:p>
            <w:r/>
            <w:r>
              <w:rPr>
                <w:sz w:val="18"/>
              </w:rPr>
              <w:t>Payroll + workforce data</w:t>
            </w:r>
          </w:p>
        </w:tc>
      </w:tr>
      <w:tr>
        <w:tc>
          <w:tcPr>
            <w:tcW w:type="dxa" w:w="4320"/>
          </w:tcPr>
          <w:p>
            <w:r/>
            <w:r>
              <w:rPr>
                <w:sz w:val="18"/>
              </w:rPr>
              <w:t>Personio</w:t>
            </w:r>
          </w:p>
        </w:tc>
        <w:tc>
          <w:tcPr>
            <w:tcW w:type="dxa" w:w="4320"/>
          </w:tcPr>
          <w:p>
            <w:r/>
            <w:r>
              <w:rPr>
                <w:sz w:val="18"/>
              </w:rPr>
              <w:t>European mid-market HR</w:t>
            </w:r>
          </w:p>
        </w:tc>
      </w:tr>
      <w:tr>
        <w:tc>
          <w:tcPr>
            <w:tcW w:type="dxa" w:w="4320"/>
          </w:tcPr>
          <w:p>
            <w:r/>
            <w:r>
              <w:rPr>
                <w:sz w:val="18"/>
              </w:rPr>
              <w:t>Local HRIS per market</w:t>
            </w:r>
          </w:p>
        </w:tc>
        <w:tc>
          <w:tcPr>
            <w:tcW w:type="dxa" w:w="4320"/>
          </w:tcPr>
          <w:p>
            <w:r/>
            <w:r>
              <w:rPr>
                <w:sz w:val="18"/>
              </w:rPr>
              <w:t>Country-specific HR systems in target markets</w:t>
            </w:r>
          </w:p>
        </w:tc>
      </w:tr>
    </w:tbl>
    <w:p>
      <w:pPr>
        <w:pStyle w:val="Heading2"/>
      </w:pPr>
      <w:r>
        <w:rPr>
          <w:color w:val="1B4332"/>
        </w:rPr>
        <w:t>Real-Time Monitoring Architecture</w:t>
      </w:r>
    </w:p>
    <w:p>
      <w:r>
        <w:rPr>
          <w:b w:val="0"/>
          <w:sz w:val="20"/>
        </w:rPr>
        <w:t>Mid-market export manufacturers already have IoT infrastructure: PLC-controlled production lines, smart energy meters, water flow meters, building management systems. The platform reads existing sensor data through the same ERP API pipelines used for batch reporting. No sensor installation required — just higher-frequency data pulls.</w:t>
      </w:r>
    </w:p>
    <w:p>
      <w:r>
        <w:rPr>
          <w:b w:val="0"/>
          <w:sz w:val="20"/>
        </w:rPr>
        <w:t>Alerts: threshold-based notifications (emissions exceeded, energy spike, water usage anomaly). Dashboard: live metrics alongside compliance data.</w:t>
      </w:r>
    </w:p>
    <w:p>
      <w:pPr>
        <w:pStyle w:val="Heading2"/>
      </w:pPr>
      <w:r>
        <w:rPr>
          <w:color w:val="1B4332"/>
        </w:rPr>
        <w:t>Supplier Intelligence Architecture (v1)</w:t>
      </w:r>
    </w:p>
    <w:p>
      <w:r>
        <w:rPr>
          <w:b w:val="0"/>
          <w:sz w:val="20"/>
        </w:rPr>
        <w:t>v1 (3-6 months): English-language news APIs (GDELT, NewsAPI) + sanctions lists (OFAC, EU) + LLM sentiment analysis. Exact company name matching. Straightforward API integration.</w:t>
      </w:r>
    </w:p>
    <w:p>
      <w:r>
        <w:rPr>
          <w:b w:val="0"/>
          <w:sz w:val="20"/>
        </w:rPr>
        <w:t>Full version (12+ months): Multilingual news parsing (Bengali, Vietnamese, Thai, Hindi) + fuzzy entity resolution + trade data integration + financial distress signals.</w:t>
      </w:r>
    </w:p>
    <w:p>
      <w:r>
        <w:br w:type="page"/>
      </w:r>
    </w:p>
    <w:p>
      <w:pPr>
        <w:pStyle w:val="Heading1"/>
      </w:pPr>
      <w:r>
        <w:rPr>
          <w:color w:val="1B4332"/>
        </w:rPr>
        <w:t>5. Market Opportunity</w:t>
      </w:r>
    </w:p>
    <w:p>
      <w:pPr>
        <w:pStyle w:val="Heading2"/>
      </w:pPr>
      <w:r>
        <w:rPr>
          <w:color w:val="1B4332"/>
        </w:rPr>
        <w:t>Regulatory Drivers</w:t>
      </w:r>
    </w:p>
    <w:p>
      <w:pPr>
        <w:pStyle w:val="ListBullet"/>
        <w:ind w:left="720"/>
      </w:pPr>
      <w:r>
        <w:rPr>
          <w:sz w:val="20"/>
        </w:rPr>
        <w:t>CSRD (EU) — 50,000+ companies must report ESG data by 2025–2026</w:t>
      </w:r>
    </w:p>
    <w:p>
      <w:pPr>
        <w:pStyle w:val="ListBullet"/>
        <w:ind w:left="720"/>
      </w:pPr>
      <w:r>
        <w:rPr>
          <w:sz w:val="20"/>
        </w:rPr>
        <w:t>CSDDD (EU) — Companies must ensure suppliers meet ESG standards (due diligence)</w:t>
      </w:r>
    </w:p>
    <w:p>
      <w:pPr>
        <w:pStyle w:val="ListBullet"/>
        <w:ind w:left="720"/>
      </w:pPr>
      <w:r>
        <w:rPr>
          <w:sz w:val="20"/>
        </w:rPr>
        <w:t>EUDR (EU) — Deforestation-free supply chains for palm oil, soy, coffee, etc.</w:t>
      </w:r>
    </w:p>
    <w:p>
      <w:pPr>
        <w:pStyle w:val="ListBullet"/>
        <w:ind w:left="720"/>
      </w:pPr>
      <w:r>
        <w:rPr>
          <w:sz w:val="20"/>
        </w:rPr>
        <w:t>CBAM (EU) — Carbon border adjustment — importers pay for embedded carbon</w:t>
      </w:r>
    </w:p>
    <w:p>
      <w:pPr>
        <w:pStyle w:val="ListBullet"/>
        <w:ind w:left="720"/>
      </w:pPr>
      <w:r>
        <w:rPr>
          <w:sz w:val="20"/>
        </w:rPr>
        <w:t>ISSB (Global) — International Sustainability Standards Board baseline</w:t>
      </w:r>
    </w:p>
    <w:p>
      <w:pPr>
        <w:pStyle w:val="ListBullet"/>
        <w:ind w:left="720"/>
      </w:pPr>
      <w:r>
        <w:rPr>
          <w:sz w:val="20"/>
        </w:rPr>
        <w:t>SEC Climate Disclosure (US) — Climate risk reporting for US-listed companies</w:t>
      </w:r>
    </w:p>
    <w:p>
      <w:pPr>
        <w:pStyle w:val="Heading2"/>
      </w:pPr>
      <w:r>
        <w:rPr>
          <w:color w:val="1B4332"/>
        </w:rPr>
        <w:t>Consumer ESG Demand</w:t>
      </w:r>
    </w:p>
    <w:tbl>
      <w:tblPr>
        <w:tblStyle w:val="TableGrid"/>
        <w:tblW w:type="auto" w:w="0"/>
        <w:jc w:val="center"/>
        <w:tblLook w:firstColumn="1" w:firstRow="1" w:lastColumn="0" w:lastRow="0" w:noHBand="0" w:noVBand="1" w:val="04A0"/>
      </w:tblPr>
      <w:tblGrid>
        <w:gridCol w:w="4320"/>
        <w:gridCol w:w="4320"/>
      </w:tblGrid>
      <w:tr>
        <w:tc>
          <w:tcPr>
            <w:tcW w:type="dxa" w:w="4320"/>
            <w:shd w:fill="1B4332" w:val="clear"/>
          </w:tcPr>
          <w:p>
            <w:r/>
            <w:r>
              <w:rPr>
                <w:b/>
                <w:color w:val="FFFFFF"/>
                <w:sz w:val="18"/>
              </w:rPr>
              <w:t>Source</w:t>
            </w:r>
          </w:p>
        </w:tc>
        <w:tc>
          <w:tcPr>
            <w:tcW w:type="dxa" w:w="4320"/>
            <w:shd w:fill="1B4332" w:val="clear"/>
          </w:tcPr>
          <w:p>
            <w:r/>
            <w:r>
              <w:rPr>
                <w:b/>
                <w:color w:val="FFFFFF"/>
                <w:sz w:val="18"/>
              </w:rPr>
              <w:t>Finding</w:t>
            </w:r>
          </w:p>
        </w:tc>
      </w:tr>
      <w:tr>
        <w:tc>
          <w:tcPr>
            <w:tcW w:type="dxa" w:w="4320"/>
          </w:tcPr>
          <w:p>
            <w:r/>
            <w:r>
              <w:rPr>
                <w:sz w:val="18"/>
              </w:rPr>
              <w:t>PwC</w:t>
            </w:r>
          </w:p>
        </w:tc>
        <w:tc>
          <w:tcPr>
            <w:tcW w:type="dxa" w:w="4320"/>
          </w:tcPr>
          <w:p>
            <w:r/>
            <w:r>
              <w:rPr>
                <w:sz w:val="18"/>
              </w:rPr>
              <w:t>76% prefer ESG-focused companies. Willing to pay 9.7% premium</w:t>
            </w:r>
          </w:p>
        </w:tc>
      </w:tr>
      <w:tr>
        <w:tc>
          <w:tcPr>
            <w:tcW w:type="dxa" w:w="4320"/>
          </w:tcPr>
          <w:p>
            <w:r/>
            <w:r>
              <w:rPr>
                <w:sz w:val="18"/>
              </w:rPr>
              <w:t>NielsenIQ</w:t>
            </w:r>
          </w:p>
        </w:tc>
        <w:tc>
          <w:tcPr>
            <w:tcW w:type="dxa" w:w="4320"/>
          </w:tcPr>
          <w:p>
            <w:r/>
            <w:r>
              <w:rPr>
                <w:sz w:val="18"/>
              </w:rPr>
              <w:t>73% would change habits to reduce environmental impact</w:t>
            </w:r>
          </w:p>
        </w:tc>
      </w:tr>
      <w:tr>
        <w:tc>
          <w:tcPr>
            <w:tcW w:type="dxa" w:w="4320"/>
          </w:tcPr>
          <w:p>
            <w:r/>
            <w:r>
              <w:rPr>
                <w:sz w:val="18"/>
              </w:rPr>
              <w:t>Deloitte</w:t>
            </w:r>
          </w:p>
        </w:tc>
        <w:tc>
          <w:tcPr>
            <w:tcW w:type="dxa" w:w="4320"/>
          </w:tcPr>
          <w:p>
            <w:r/>
            <w:r>
              <w:rPr>
                <w:sz w:val="18"/>
              </w:rPr>
              <w:t>1 in 3 chose a more sustainable brand. Cost-of-living didn't kill ESG</w:t>
            </w:r>
          </w:p>
        </w:tc>
      </w:tr>
      <w:tr>
        <w:tc>
          <w:tcPr>
            <w:tcW w:type="dxa" w:w="4320"/>
          </w:tcPr>
          <w:p>
            <w:r/>
            <w:r>
              <w:rPr>
                <w:sz w:val="18"/>
              </w:rPr>
              <w:t>McKinsey</w:t>
            </w:r>
          </w:p>
        </w:tc>
        <w:tc>
          <w:tcPr>
            <w:tcW w:type="dxa" w:w="4320"/>
          </w:tcPr>
          <w:p>
            <w:r/>
            <w:r>
              <w:rPr>
                <w:sz w:val="18"/>
              </w:rPr>
              <w:t>66–80% willing to pay more for sustainable products</w:t>
            </w:r>
          </w:p>
        </w:tc>
      </w:tr>
    </w:tbl>
    <w:p>
      <w:pPr>
        <w:pStyle w:val="Heading2"/>
      </w:pPr>
      <w:r>
        <w:rPr>
          <w:color w:val="1B4332"/>
        </w:rPr>
        <w:t>Priority Target Markets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332" w:val="clear"/>
          </w:tcPr>
          <w:p>
            <w:r/>
            <w:r>
              <w:rPr>
                <w:b/>
                <w:color w:val="FFFFFF"/>
                <w:sz w:val="18"/>
              </w:rPr>
              <w:t>Priority</w:t>
            </w:r>
          </w:p>
        </w:tc>
        <w:tc>
          <w:tcPr>
            <w:tcW w:type="dxa" w:w="2880"/>
            <w:shd w:fill="1B4332" w:val="clear"/>
          </w:tcPr>
          <w:p>
            <w:r/>
            <w:r>
              <w:rPr>
                <w:b/>
                <w:color w:val="FFFFFF"/>
                <w:sz w:val="18"/>
              </w:rPr>
              <w:t>Market</w:t>
            </w:r>
          </w:p>
        </w:tc>
        <w:tc>
          <w:tcPr>
            <w:tcW w:type="dxa" w:w="2880"/>
            <w:shd w:fill="1B4332" w:val="clear"/>
          </w:tcPr>
          <w:p>
            <w:r/>
            <w:r>
              <w:rPr>
                <w:b/>
                <w:color w:val="FFFFFF"/>
                <w:sz w:val="18"/>
              </w:rPr>
              <w:t>Why</w:t>
            </w:r>
          </w:p>
        </w:tc>
      </w:tr>
      <w:tr>
        <w:tc>
          <w:tcPr>
            <w:tcW w:type="dxa" w:w="2880"/>
          </w:tcPr>
          <w:p>
            <w:r/>
            <w:r>
              <w:rPr>
                <w:sz w:val="18"/>
              </w:rPr>
              <w:t>1</w:t>
            </w:r>
          </w:p>
        </w:tc>
        <w:tc>
          <w:tcPr>
            <w:tcW w:type="dxa" w:w="2880"/>
          </w:tcPr>
          <w:p>
            <w:r/>
            <w:r>
              <w:rPr>
                <w:sz w:val="18"/>
              </w:rPr>
              <w:t>Bangladesh (garments)</w:t>
            </w:r>
          </w:p>
        </w:tc>
        <w:tc>
          <w:tcPr>
            <w:tcW w:type="dxa" w:w="2880"/>
          </w:tcPr>
          <w:p>
            <w:r/>
            <w:r>
              <w:rPr>
                <w:sz w:val="18"/>
              </w:rPr>
              <w:t>4,000+ factories, all exporting to EU, receiving ESG questionnaires today</w:t>
            </w:r>
          </w:p>
        </w:tc>
      </w:tr>
      <w:tr>
        <w:tc>
          <w:tcPr>
            <w:tcW w:type="dxa" w:w="2880"/>
          </w:tcPr>
          <w:p>
            <w:r/>
            <w:r>
              <w:rPr>
                <w:sz w:val="18"/>
              </w:rPr>
              <w:t>2</w:t>
            </w:r>
          </w:p>
        </w:tc>
        <w:tc>
          <w:tcPr>
            <w:tcW w:type="dxa" w:w="2880"/>
          </w:tcPr>
          <w:p>
            <w:r/>
            <w:r>
              <w:rPr>
                <w:sz w:val="18"/>
              </w:rPr>
              <w:t>Vietnam (textiles + electronics)</w:t>
            </w:r>
          </w:p>
        </w:tc>
        <w:tc>
          <w:tcPr>
            <w:tcW w:type="dxa" w:w="2880"/>
          </w:tcPr>
          <w:p>
            <w:r/>
            <w:r>
              <w:rPr>
                <w:sz w:val="18"/>
              </w:rPr>
              <w:t>EU top export market. EUDR + CSDDD creating demand</w:t>
            </w:r>
          </w:p>
        </w:tc>
      </w:tr>
      <w:tr>
        <w:tc>
          <w:tcPr>
            <w:tcW w:type="dxa" w:w="2880"/>
          </w:tcPr>
          <w:p>
            <w:r/>
            <w:r>
              <w:rPr>
                <w:sz w:val="18"/>
              </w:rPr>
              <w:t>3</w:t>
            </w:r>
          </w:p>
        </w:tc>
        <w:tc>
          <w:tcPr>
            <w:tcW w:type="dxa" w:w="2880"/>
          </w:tcPr>
          <w:p>
            <w:r/>
            <w:r>
              <w:rPr>
                <w:sz w:val="18"/>
              </w:rPr>
              <w:t>India (pharma + auto + IT)</w:t>
            </w:r>
          </w:p>
        </w:tc>
        <w:tc>
          <w:tcPr>
            <w:tcW w:type="dxa" w:w="2880"/>
          </w:tcPr>
          <w:p>
            <w:r/>
            <w:r>
              <w:rPr>
                <w:sz w:val="18"/>
              </w:rPr>
              <w:t>Largest number of mid-market companies. EU + US pressure</w:t>
            </w:r>
          </w:p>
        </w:tc>
      </w:tr>
      <w:tr>
        <w:tc>
          <w:tcPr>
            <w:tcW w:type="dxa" w:w="2880"/>
          </w:tcPr>
          <w:p>
            <w:r/>
            <w:r>
              <w:rPr>
                <w:sz w:val="18"/>
              </w:rPr>
              <w:t>4</w:t>
            </w:r>
          </w:p>
        </w:tc>
        <w:tc>
          <w:tcPr>
            <w:tcW w:type="dxa" w:w="2880"/>
          </w:tcPr>
          <w:p>
            <w:r/>
            <w:r>
              <w:rPr>
                <w:sz w:val="18"/>
              </w:rPr>
              <w:t>Thailand (auto + food)</w:t>
            </w:r>
          </w:p>
        </w:tc>
        <w:tc>
          <w:tcPr>
            <w:tcW w:type="dxa" w:w="2880"/>
          </w:tcPr>
          <w:p>
            <w:r/>
            <w:r>
              <w:rPr>
                <w:sz w:val="18"/>
              </w:rPr>
              <w:t>Automotive supply chain to EU/Japan</w:t>
            </w:r>
          </w:p>
        </w:tc>
      </w:tr>
      <w:tr>
        <w:tc>
          <w:tcPr>
            <w:tcW w:type="dxa" w:w="2880"/>
          </w:tcPr>
          <w:p>
            <w:r/>
            <w:r>
              <w:rPr>
                <w:sz w:val="18"/>
              </w:rPr>
              <w:t>5</w:t>
            </w:r>
          </w:p>
        </w:tc>
        <w:tc>
          <w:tcPr>
            <w:tcW w:type="dxa" w:w="2880"/>
          </w:tcPr>
          <w:p>
            <w:r/>
            <w:r>
              <w:rPr>
                <w:sz w:val="18"/>
              </w:rPr>
              <w:t>Indonesia (palm oil + textiles)</w:t>
            </w:r>
          </w:p>
        </w:tc>
        <w:tc>
          <w:tcPr>
            <w:tcW w:type="dxa" w:w="2880"/>
          </w:tcPr>
          <w:p>
            <w:r/>
            <w:r>
              <w:rPr>
                <w:sz w:val="18"/>
              </w:rPr>
              <w:t>EUDR is existential — comply or lose EU access</w:t>
            </w:r>
          </w:p>
        </w:tc>
      </w:tr>
    </w:tbl>
    <w:p>
      <w:r>
        <w:br w:type="page"/>
      </w:r>
    </w:p>
    <w:p>
      <w:pPr>
        <w:pStyle w:val="Heading1"/>
      </w:pPr>
      <w:r>
        <w:rPr>
          <w:color w:val="1B4332"/>
        </w:rPr>
        <w:t>6. Competitive Landscape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B4332" w:val="clear"/>
          </w:tcPr>
          <w:p>
            <w:r/>
            <w:r>
              <w:rPr>
                <w:b/>
                <w:color w:val="FFFFFF"/>
                <w:sz w:val="18"/>
              </w:rPr>
            </w:r>
          </w:p>
        </w:tc>
        <w:tc>
          <w:tcPr>
            <w:tcW w:type="dxa" w:w="1440"/>
            <w:shd w:fill="1B4332" w:val="clear"/>
          </w:tcPr>
          <w:p>
            <w:r/>
            <w:r>
              <w:rPr>
                <w:b/>
                <w:color w:val="FFFFFF"/>
                <w:sz w:val="18"/>
              </w:rPr>
              <w:t>This Startup</w:t>
            </w:r>
          </w:p>
        </w:tc>
        <w:tc>
          <w:tcPr>
            <w:tcW w:type="dxa" w:w="1440"/>
            <w:shd w:fill="1B4332" w:val="clear"/>
          </w:tcPr>
          <w:p>
            <w:r/>
            <w:r>
              <w:rPr>
                <w:b/>
                <w:color w:val="FFFFFF"/>
                <w:sz w:val="18"/>
              </w:rPr>
              <w:t>Sweep</w:t>
            </w:r>
          </w:p>
        </w:tc>
        <w:tc>
          <w:tcPr>
            <w:tcW w:type="dxa" w:w="1440"/>
            <w:shd w:fill="1B4332" w:val="clear"/>
          </w:tcPr>
          <w:p>
            <w:r/>
            <w:r>
              <w:rPr>
                <w:b/>
                <w:color w:val="FFFFFF"/>
                <w:sz w:val="18"/>
              </w:rPr>
              <w:t>EcoVadis</w:t>
            </w:r>
          </w:p>
        </w:tc>
        <w:tc>
          <w:tcPr>
            <w:tcW w:type="dxa" w:w="1440"/>
            <w:shd w:fill="1B4332" w:val="clear"/>
          </w:tcPr>
          <w:p>
            <w:r/>
            <w:r>
              <w:rPr>
                <w:b/>
                <w:color w:val="FFFFFF"/>
                <w:sz w:val="18"/>
              </w:rPr>
              <w:t>Persefoni</w:t>
            </w:r>
          </w:p>
        </w:tc>
        <w:tc>
          <w:tcPr>
            <w:tcW w:type="dxa" w:w="1440"/>
            <w:shd w:fill="1B4332" w:val="clear"/>
          </w:tcPr>
          <w:p>
            <w:r/>
            <w:r>
              <w:rPr>
                <w:b/>
                <w:color w:val="FFFFFF"/>
                <w:sz w:val="18"/>
              </w:rPr>
              <w:t>Resilinc</w:t>
            </w:r>
          </w:p>
        </w:tc>
      </w:tr>
      <w:tr>
        <w:tc>
          <w:tcPr>
            <w:tcW w:type="dxa" w:w="1440"/>
          </w:tcPr>
          <w:p>
            <w:r/>
            <w:r>
              <w:rPr>
                <w:sz w:val="18"/>
              </w:rPr>
              <w:t>ESG Reporting</w:t>
            </w:r>
          </w:p>
        </w:tc>
        <w:tc>
          <w:tcPr>
            <w:tcW w:type="dxa" w:w="1440"/>
          </w:tcPr>
          <w:p>
            <w:r/>
            <w:r>
              <w:rPr>
                <w:sz w:val="18"/>
              </w:rPr>
              <w:t>Yes</w:t>
            </w:r>
          </w:p>
        </w:tc>
        <w:tc>
          <w:tcPr>
            <w:tcW w:type="dxa" w:w="1440"/>
          </w:tcPr>
          <w:p>
            <w:r/>
            <w:r>
              <w:rPr>
                <w:sz w:val="18"/>
              </w:rPr>
              <w:t>Yes</w:t>
            </w:r>
          </w:p>
        </w:tc>
        <w:tc>
          <w:tcPr>
            <w:tcW w:type="dxa" w:w="1440"/>
          </w:tcPr>
          <w:p>
            <w:r/>
            <w:r>
              <w:rPr>
                <w:sz w:val="18"/>
              </w:rPr>
              <w:t>No</w:t>
            </w:r>
          </w:p>
        </w:tc>
        <w:tc>
          <w:tcPr>
            <w:tcW w:type="dxa" w:w="1440"/>
          </w:tcPr>
          <w:p>
            <w:r/>
            <w:r>
              <w:rPr>
                <w:sz w:val="18"/>
              </w:rPr>
              <w:t>Yes</w:t>
            </w:r>
          </w:p>
        </w:tc>
        <w:tc>
          <w:tcPr>
            <w:tcW w:type="dxa" w:w="1440"/>
          </w:tcPr>
          <w:p>
            <w:r/>
            <w:r>
              <w:rPr>
                <w:sz w:val="18"/>
              </w:rPr>
              <w:t>No</w:t>
            </w:r>
          </w:p>
        </w:tc>
      </w:tr>
      <w:tr>
        <w:tc>
          <w:tcPr>
            <w:tcW w:type="dxa" w:w="1440"/>
          </w:tcPr>
          <w:p>
            <w:r/>
            <w:r>
              <w:rPr>
                <w:sz w:val="18"/>
              </w:rPr>
              <w:t>Supply Chain Risk</w:t>
            </w:r>
          </w:p>
        </w:tc>
        <w:tc>
          <w:tcPr>
            <w:tcW w:type="dxa" w:w="1440"/>
          </w:tcPr>
          <w:p>
            <w:r/>
            <w:r>
              <w:rPr>
                <w:sz w:val="18"/>
              </w:rPr>
              <w:t>Yes</w:t>
            </w:r>
          </w:p>
        </w:tc>
        <w:tc>
          <w:tcPr>
            <w:tcW w:type="dxa" w:w="1440"/>
          </w:tcPr>
          <w:p>
            <w:r/>
            <w:r>
              <w:rPr>
                <w:sz w:val="18"/>
              </w:rPr>
              <w:t>No</w:t>
            </w:r>
          </w:p>
        </w:tc>
        <w:tc>
          <w:tcPr>
            <w:tcW w:type="dxa" w:w="1440"/>
          </w:tcPr>
          <w:p>
            <w:r/>
            <w:r>
              <w:rPr>
                <w:sz w:val="18"/>
              </w:rPr>
              <w:t>Partial</w:t>
            </w:r>
          </w:p>
        </w:tc>
        <w:tc>
          <w:tcPr>
            <w:tcW w:type="dxa" w:w="1440"/>
          </w:tcPr>
          <w:p>
            <w:r/>
            <w:r>
              <w:rPr>
                <w:sz w:val="18"/>
              </w:rPr>
              <w:t>No</w:t>
            </w:r>
          </w:p>
        </w:tc>
        <w:tc>
          <w:tcPr>
            <w:tcW w:type="dxa" w:w="1440"/>
          </w:tcPr>
          <w:p>
            <w:r/>
            <w:r>
              <w:rPr>
                <w:sz w:val="18"/>
              </w:rPr>
              <w:t>Yes</w:t>
            </w:r>
          </w:p>
        </w:tc>
      </w:tr>
      <w:tr>
        <w:tc>
          <w:tcPr>
            <w:tcW w:type="dxa" w:w="1440"/>
          </w:tcPr>
          <w:p>
            <w:r/>
            <w:r>
              <w:rPr>
                <w:sz w:val="18"/>
              </w:rPr>
              <w:t>Real-Time Monitoring</w:t>
            </w:r>
          </w:p>
        </w:tc>
        <w:tc>
          <w:tcPr>
            <w:tcW w:type="dxa" w:w="1440"/>
          </w:tcPr>
          <w:p>
            <w:r/>
            <w:r>
              <w:rPr>
                <w:sz w:val="18"/>
              </w:rPr>
              <w:t>Yes</w:t>
            </w:r>
          </w:p>
        </w:tc>
        <w:tc>
          <w:tcPr>
            <w:tcW w:type="dxa" w:w="1440"/>
          </w:tcPr>
          <w:p>
            <w:r/>
            <w:r>
              <w:rPr>
                <w:sz w:val="18"/>
              </w:rPr>
              <w:t>No</w:t>
            </w:r>
          </w:p>
        </w:tc>
        <w:tc>
          <w:tcPr>
            <w:tcW w:type="dxa" w:w="1440"/>
          </w:tcPr>
          <w:p>
            <w:r/>
            <w:r>
              <w:rPr>
                <w:sz w:val="18"/>
              </w:rPr>
              <w:t>No</w:t>
            </w:r>
          </w:p>
        </w:tc>
        <w:tc>
          <w:tcPr>
            <w:tcW w:type="dxa" w:w="1440"/>
          </w:tcPr>
          <w:p>
            <w:r/>
            <w:r>
              <w:rPr>
                <w:sz w:val="18"/>
              </w:rPr>
              <w:t>No</w:t>
            </w:r>
          </w:p>
        </w:tc>
        <w:tc>
          <w:tcPr>
            <w:tcW w:type="dxa" w:w="1440"/>
          </w:tcPr>
          <w:p>
            <w:r/>
            <w:r>
              <w:rPr>
                <w:sz w:val="18"/>
              </w:rPr>
              <w:t>Partial</w:t>
            </w:r>
          </w:p>
        </w:tc>
      </w:tr>
      <w:tr>
        <w:tc>
          <w:tcPr>
            <w:tcW w:type="dxa" w:w="1440"/>
          </w:tcPr>
          <w:p>
            <w:r/>
            <w:r>
              <w:rPr>
                <w:sz w:val="18"/>
              </w:rPr>
              <w:t>AI Copilot</w:t>
            </w:r>
          </w:p>
        </w:tc>
        <w:tc>
          <w:tcPr>
            <w:tcW w:type="dxa" w:w="1440"/>
          </w:tcPr>
          <w:p>
            <w:r/>
            <w:r>
              <w:rPr>
                <w:sz w:val="18"/>
              </w:rPr>
              <w:t>Planned (3-6 mo)</w:t>
            </w:r>
          </w:p>
        </w:tc>
        <w:tc>
          <w:tcPr>
            <w:tcW w:type="dxa" w:w="1440"/>
          </w:tcPr>
          <w:p>
            <w:r/>
            <w:r>
              <w:rPr>
                <w:sz w:val="18"/>
              </w:rPr>
              <w:t>No</w:t>
            </w:r>
          </w:p>
        </w:tc>
        <w:tc>
          <w:tcPr>
            <w:tcW w:type="dxa" w:w="1440"/>
          </w:tcPr>
          <w:p>
            <w:r/>
            <w:r>
              <w:rPr>
                <w:sz w:val="18"/>
              </w:rPr>
              <w:t>No</w:t>
            </w:r>
          </w:p>
        </w:tc>
        <w:tc>
          <w:tcPr>
            <w:tcW w:type="dxa" w:w="1440"/>
          </w:tcPr>
          <w:p>
            <w:r/>
            <w:r>
              <w:rPr>
                <w:sz w:val="18"/>
              </w:rPr>
              <w:t>No</w:t>
            </w:r>
          </w:p>
        </w:tc>
        <w:tc>
          <w:tcPr>
            <w:tcW w:type="dxa" w:w="1440"/>
          </w:tcPr>
          <w:p>
            <w:r/>
            <w:r>
              <w:rPr>
                <w:sz w:val="18"/>
              </w:rPr>
              <w:t>No</w:t>
            </w:r>
          </w:p>
        </w:tc>
      </w:tr>
      <w:tr>
        <w:tc>
          <w:tcPr>
            <w:tcW w:type="dxa" w:w="1440"/>
          </w:tcPr>
          <w:p>
            <w:r/>
            <w:r>
              <w:rPr>
                <w:sz w:val="18"/>
              </w:rPr>
              <w:t>Supplier Intelligence</w:t>
            </w:r>
          </w:p>
        </w:tc>
        <w:tc>
          <w:tcPr>
            <w:tcW w:type="dxa" w:w="1440"/>
          </w:tcPr>
          <w:p>
            <w:r/>
            <w:r>
              <w:rPr>
                <w:sz w:val="18"/>
              </w:rPr>
              <w:t>Planned (3-6 mo)</w:t>
            </w:r>
          </w:p>
        </w:tc>
        <w:tc>
          <w:tcPr>
            <w:tcW w:type="dxa" w:w="1440"/>
          </w:tcPr>
          <w:p>
            <w:r/>
            <w:r>
              <w:rPr>
                <w:sz w:val="18"/>
              </w:rPr>
              <w:t>No</w:t>
            </w:r>
          </w:p>
        </w:tc>
        <w:tc>
          <w:tcPr>
            <w:tcW w:type="dxa" w:w="1440"/>
          </w:tcPr>
          <w:p>
            <w:r/>
            <w:r>
              <w:rPr>
                <w:sz w:val="18"/>
              </w:rPr>
              <w:t>Self-reported only</w:t>
            </w:r>
          </w:p>
        </w:tc>
        <w:tc>
          <w:tcPr>
            <w:tcW w:type="dxa" w:w="1440"/>
          </w:tcPr>
          <w:p>
            <w:r/>
            <w:r>
              <w:rPr>
                <w:sz w:val="18"/>
              </w:rPr>
              <w:t>No</w:t>
            </w:r>
          </w:p>
        </w:tc>
        <w:tc>
          <w:tcPr>
            <w:tcW w:type="dxa" w:w="1440"/>
          </w:tcPr>
          <w:p>
            <w:r/>
            <w:r>
              <w:rPr>
                <w:sz w:val="18"/>
              </w:rPr>
              <w:t>Partial</w:t>
            </w:r>
          </w:p>
        </w:tc>
      </w:tr>
      <w:tr>
        <w:tc>
          <w:tcPr>
            <w:tcW w:type="dxa" w:w="1440"/>
          </w:tcPr>
          <w:p>
            <w:r/>
            <w:r>
              <w:rPr>
                <w:sz w:val="18"/>
              </w:rPr>
              <w:t>Mid-Market Focus</w:t>
            </w:r>
          </w:p>
        </w:tc>
        <w:tc>
          <w:tcPr>
            <w:tcW w:type="dxa" w:w="1440"/>
          </w:tcPr>
          <w:p>
            <w:r/>
            <w:r>
              <w:rPr>
                <w:sz w:val="18"/>
              </w:rPr>
              <w:t>Yes</w:t>
            </w:r>
          </w:p>
        </w:tc>
        <w:tc>
          <w:tcPr>
            <w:tcW w:type="dxa" w:w="1440"/>
          </w:tcPr>
          <w:p>
            <w:r/>
            <w:r>
              <w:rPr>
                <w:sz w:val="18"/>
              </w:rPr>
              <w:t>No</w:t>
            </w:r>
          </w:p>
        </w:tc>
        <w:tc>
          <w:tcPr>
            <w:tcW w:type="dxa" w:w="1440"/>
          </w:tcPr>
          <w:p>
            <w:r/>
            <w:r>
              <w:rPr>
                <w:sz w:val="18"/>
              </w:rPr>
              <w:t>Partial</w:t>
            </w:r>
          </w:p>
        </w:tc>
        <w:tc>
          <w:tcPr>
            <w:tcW w:type="dxa" w:w="1440"/>
          </w:tcPr>
          <w:p>
            <w:r/>
            <w:r>
              <w:rPr>
                <w:sz w:val="18"/>
              </w:rPr>
              <w:t>No</w:t>
            </w:r>
          </w:p>
        </w:tc>
        <w:tc>
          <w:tcPr>
            <w:tcW w:type="dxa" w:w="1440"/>
          </w:tcPr>
          <w:p>
            <w:r/>
            <w:r>
              <w:rPr>
                <w:sz w:val="18"/>
              </w:rPr>
              <w:t>No</w:t>
            </w:r>
          </w:p>
        </w:tc>
      </w:tr>
      <w:tr>
        <w:tc>
          <w:tcPr>
            <w:tcW w:type="dxa" w:w="1440"/>
          </w:tcPr>
          <w:p>
            <w:r/>
            <w:r>
              <w:rPr>
                <w:sz w:val="18"/>
              </w:rPr>
              <w:t>Messaging-Native Collection</w:t>
            </w:r>
          </w:p>
        </w:tc>
        <w:tc>
          <w:tcPr>
            <w:tcW w:type="dxa" w:w="1440"/>
          </w:tcPr>
          <w:p>
            <w:r/>
            <w:r>
              <w:rPr>
                <w:sz w:val="18"/>
              </w:rPr>
              <w:t>Yes</w:t>
            </w:r>
          </w:p>
        </w:tc>
        <w:tc>
          <w:tcPr>
            <w:tcW w:type="dxa" w:w="1440"/>
          </w:tcPr>
          <w:p>
            <w:r/>
            <w:r>
              <w:rPr>
                <w:sz w:val="18"/>
              </w:rPr>
              <w:t>No</w:t>
            </w:r>
          </w:p>
        </w:tc>
        <w:tc>
          <w:tcPr>
            <w:tcW w:type="dxa" w:w="1440"/>
          </w:tcPr>
          <w:p>
            <w:r/>
            <w:r>
              <w:rPr>
                <w:sz w:val="18"/>
              </w:rPr>
              <w:t>No</w:t>
            </w:r>
          </w:p>
        </w:tc>
        <w:tc>
          <w:tcPr>
            <w:tcW w:type="dxa" w:w="1440"/>
          </w:tcPr>
          <w:p>
            <w:r/>
            <w:r>
              <w:rPr>
                <w:sz w:val="18"/>
              </w:rPr>
              <w:t>No</w:t>
            </w:r>
          </w:p>
        </w:tc>
        <w:tc>
          <w:tcPr>
            <w:tcW w:type="dxa" w:w="1440"/>
          </w:tcPr>
          <w:p>
            <w:r/>
            <w:r>
              <w:rPr>
                <w:sz w:val="18"/>
              </w:rPr>
              <w:t>No</w:t>
            </w:r>
          </w:p>
        </w:tc>
      </w:tr>
      <w:tr>
        <w:tc>
          <w:tcPr>
            <w:tcW w:type="dxa" w:w="1440"/>
          </w:tcPr>
          <w:p>
            <w:r/>
            <w:r>
              <w:rPr>
                <w:sz w:val="18"/>
              </w:rPr>
              <w:t>ROI Engine</w:t>
            </w:r>
          </w:p>
        </w:tc>
        <w:tc>
          <w:tcPr>
            <w:tcW w:type="dxa" w:w="1440"/>
          </w:tcPr>
          <w:p>
            <w:r/>
            <w:r>
              <w:rPr>
                <w:sz w:val="18"/>
              </w:rPr>
              <w:t>Yes</w:t>
            </w:r>
          </w:p>
        </w:tc>
        <w:tc>
          <w:tcPr>
            <w:tcW w:type="dxa" w:w="1440"/>
          </w:tcPr>
          <w:p>
            <w:r/>
            <w:r>
              <w:rPr>
                <w:sz w:val="18"/>
              </w:rPr>
              <w:t>No</w:t>
            </w:r>
          </w:p>
        </w:tc>
        <w:tc>
          <w:tcPr>
            <w:tcW w:type="dxa" w:w="1440"/>
          </w:tcPr>
          <w:p>
            <w:r/>
            <w:r>
              <w:rPr>
                <w:sz w:val="18"/>
              </w:rPr>
              <w:t>No</w:t>
            </w:r>
          </w:p>
        </w:tc>
        <w:tc>
          <w:tcPr>
            <w:tcW w:type="dxa" w:w="1440"/>
          </w:tcPr>
          <w:p>
            <w:r/>
            <w:r>
              <w:rPr>
                <w:sz w:val="18"/>
              </w:rPr>
              <w:t>No</w:t>
            </w:r>
          </w:p>
        </w:tc>
        <w:tc>
          <w:tcPr>
            <w:tcW w:type="dxa" w:w="1440"/>
          </w:tcPr>
          <w:p>
            <w:r/>
            <w:r>
              <w:rPr>
                <w:sz w:val="18"/>
              </w:rPr>
              <w:t>No</w:t>
            </w:r>
          </w:p>
        </w:tc>
      </w:tr>
      <w:tr>
        <w:tc>
          <w:tcPr>
            <w:tcW w:type="dxa" w:w="1440"/>
          </w:tcPr>
          <w:p>
            <w:r/>
            <w:r>
              <w:rPr>
                <w:sz w:val="18"/>
              </w:rPr>
              <w:t>Target Buyer</w:t>
            </w:r>
          </w:p>
        </w:tc>
        <w:tc>
          <w:tcPr>
            <w:tcW w:type="dxa" w:w="1440"/>
          </w:tcPr>
          <w:p>
            <w:r/>
            <w:r>
              <w:rPr>
                <w:sz w:val="18"/>
              </w:rPr>
              <w:t>CFO/COO</w:t>
            </w:r>
          </w:p>
        </w:tc>
        <w:tc>
          <w:tcPr>
            <w:tcW w:type="dxa" w:w="1440"/>
          </w:tcPr>
          <w:p>
            <w:r/>
            <w:r>
              <w:rPr>
                <w:sz w:val="18"/>
              </w:rPr>
              <w:t>CSO</w:t>
            </w:r>
          </w:p>
        </w:tc>
        <w:tc>
          <w:tcPr>
            <w:tcW w:type="dxa" w:w="1440"/>
          </w:tcPr>
          <w:p>
            <w:r/>
            <w:r>
              <w:rPr>
                <w:sz w:val="18"/>
              </w:rPr>
              <w:t>Procurement</w:t>
            </w:r>
          </w:p>
        </w:tc>
        <w:tc>
          <w:tcPr>
            <w:tcW w:type="dxa" w:w="1440"/>
          </w:tcPr>
          <w:p>
            <w:r/>
            <w:r>
              <w:rPr>
                <w:sz w:val="18"/>
              </w:rPr>
              <w:t>CSO</w:t>
            </w:r>
          </w:p>
        </w:tc>
        <w:tc>
          <w:tcPr>
            <w:tcW w:type="dxa" w:w="1440"/>
          </w:tcPr>
          <w:p>
            <w:r/>
            <w:r>
              <w:rPr>
                <w:sz w:val="18"/>
              </w:rPr>
              <w:t>Supply Chain</w:t>
            </w:r>
          </w:p>
        </w:tc>
      </w:tr>
      <w:tr>
        <w:tc>
          <w:tcPr>
            <w:tcW w:type="dxa" w:w="1440"/>
          </w:tcPr>
          <w:p>
            <w:r/>
            <w:r>
              <w:rPr>
                <w:sz w:val="18"/>
              </w:rPr>
              <w:t>Funding</w:t>
            </w:r>
          </w:p>
        </w:tc>
        <w:tc>
          <w:tcPr>
            <w:tcW w:type="dxa" w:w="1440"/>
          </w:tcPr>
          <w:p>
            <w:r/>
            <w:r>
              <w:rPr>
                <w:sz w:val="18"/>
              </w:rPr>
              <w:t>$0 (raising)</w:t>
            </w:r>
          </w:p>
        </w:tc>
        <w:tc>
          <w:tcPr>
            <w:tcW w:type="dxa" w:w="1440"/>
          </w:tcPr>
          <w:p>
            <w:r/>
            <w:r>
              <w:rPr>
                <w:sz w:val="18"/>
              </w:rPr>
              <w:t>$100M+</w:t>
            </w:r>
          </w:p>
        </w:tc>
        <w:tc>
          <w:tcPr>
            <w:tcW w:type="dxa" w:w="1440"/>
          </w:tcPr>
          <w:p>
            <w:r/>
            <w:r>
              <w:rPr>
                <w:sz w:val="18"/>
              </w:rPr>
              <w:t>$500M+</w:t>
            </w:r>
          </w:p>
        </w:tc>
        <w:tc>
          <w:tcPr>
            <w:tcW w:type="dxa" w:w="1440"/>
          </w:tcPr>
          <w:p>
            <w:r/>
            <w:r>
              <w:rPr>
                <w:sz w:val="18"/>
              </w:rPr>
              <w:t>$100M+</w:t>
            </w:r>
          </w:p>
        </w:tc>
        <w:tc>
          <w:tcPr>
            <w:tcW w:type="dxa" w:w="1440"/>
          </w:tcPr>
          <w:p>
            <w:r/>
            <w:r>
              <w:rPr>
                <w:sz w:val="18"/>
              </w:rPr>
              <w:t>$100M+</w:t>
            </w:r>
          </w:p>
        </w:tc>
      </w:tr>
    </w:tbl>
    <w:p>
      <w:r>
        <w:br w:type="page"/>
      </w:r>
    </w:p>
    <w:p>
      <w:pPr>
        <w:pStyle w:val="Heading1"/>
      </w:pPr>
      <w:r>
        <w:rPr>
          <w:color w:val="1B4332"/>
        </w:rPr>
        <w:t>7. Business Model</w:t>
      </w:r>
    </w:p>
    <w:p>
      <w:pPr>
        <w:pStyle w:val="Heading2"/>
      </w:pPr>
      <w:r>
        <w:rPr>
          <w:color w:val="1B4332"/>
        </w:rPr>
        <w:t>Pricing Tiers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4332" w:val="clear"/>
          </w:tcPr>
          <w:p>
            <w:r/>
            <w:r>
              <w:rPr>
                <w:b/>
                <w:color w:val="FFFFFF"/>
                <w:sz w:val="18"/>
              </w:rPr>
              <w:t>Tier</w:t>
            </w:r>
          </w:p>
        </w:tc>
        <w:tc>
          <w:tcPr>
            <w:tcW w:type="dxa" w:w="2160"/>
            <w:shd w:fill="1B4332" w:val="clear"/>
          </w:tcPr>
          <w:p>
            <w:r/>
            <w:r>
              <w:rPr>
                <w:b/>
                <w:color w:val="FFFFFF"/>
                <w:sz w:val="18"/>
              </w:rPr>
              <w:t>Customer</w:t>
            </w:r>
          </w:p>
        </w:tc>
        <w:tc>
          <w:tcPr>
            <w:tcW w:type="dxa" w:w="2160"/>
            <w:shd w:fill="1B4332" w:val="clear"/>
          </w:tcPr>
          <w:p>
            <w:r/>
            <w:r>
              <w:rPr>
                <w:b/>
                <w:color w:val="FFFFFF"/>
                <w:sz w:val="18"/>
              </w:rPr>
              <w:t>Price</w:t>
            </w:r>
          </w:p>
        </w:tc>
        <w:tc>
          <w:tcPr>
            <w:tcW w:type="dxa" w:w="2160"/>
            <w:shd w:fill="1B4332" w:val="clear"/>
          </w:tcPr>
          <w:p>
            <w:r/>
            <w:r>
              <w:rPr>
                <w:b/>
                <w:color w:val="FFFFFF"/>
                <w:sz w:val="18"/>
              </w:rPr>
              <w:t>Includes</w:t>
            </w:r>
          </w:p>
        </w:tc>
      </w:tr>
      <w:tr>
        <w:tc>
          <w:tcPr>
            <w:tcW w:type="dxa" w:w="2160"/>
          </w:tcPr>
          <w:p>
            <w:r/>
            <w:r>
              <w:rPr>
                <w:sz w:val="18"/>
              </w:rPr>
              <w:t>Mid-Market</w:t>
            </w:r>
          </w:p>
        </w:tc>
        <w:tc>
          <w:tcPr>
            <w:tcW w:type="dxa" w:w="2160"/>
          </w:tcPr>
          <w:p>
            <w:r/>
            <w:r>
              <w:rPr>
                <w:sz w:val="18"/>
              </w:rPr>
              <w:t>500–5,000 employees</w:t>
            </w:r>
          </w:p>
        </w:tc>
        <w:tc>
          <w:tcPr>
            <w:tcW w:type="dxa" w:w="2160"/>
          </w:tcPr>
          <w:p>
            <w:r/>
            <w:r>
              <w:rPr>
                <w:sz w:val="18"/>
              </w:rPr>
              <w:t>$24–60K/year ($2-5K/month)</w:t>
            </w:r>
          </w:p>
        </w:tc>
        <w:tc>
          <w:tcPr>
            <w:tcW w:type="dxa" w:w="2160"/>
          </w:tcPr>
          <w:p>
            <w:r/>
            <w:r>
              <w:rPr>
                <w:sz w:val="18"/>
              </w:rPr>
              <w:t>Full platform + 1 ERP integration + messaging supplier collection</w:t>
            </w:r>
          </w:p>
        </w:tc>
      </w:tr>
      <w:tr>
        <w:tc>
          <w:tcPr>
            <w:tcW w:type="dxa" w:w="2160"/>
          </w:tcPr>
          <w:p>
            <w:r/>
            <w:r>
              <w:rPr>
                <w:sz w:val="18"/>
              </w:rPr>
              <w:t>Enterprise Division</w:t>
            </w:r>
          </w:p>
        </w:tc>
        <w:tc>
          <w:tcPr>
            <w:tcW w:type="dxa" w:w="2160"/>
          </w:tcPr>
          <w:p>
            <w:r/>
            <w:r>
              <w:rPr>
                <w:sz w:val="18"/>
              </w:rPr>
              <w:t>Division of large enterprise</w:t>
            </w:r>
          </w:p>
        </w:tc>
        <w:tc>
          <w:tcPr>
            <w:tcW w:type="dxa" w:w="2160"/>
          </w:tcPr>
          <w:p>
            <w:r/>
            <w:r>
              <w:rPr>
                <w:sz w:val="18"/>
              </w:rPr>
              <w:t>$60–150K/year</w:t>
            </w:r>
          </w:p>
        </w:tc>
        <w:tc>
          <w:tcPr>
            <w:tcW w:type="dxa" w:w="2160"/>
          </w:tcPr>
          <w:p>
            <w:r/>
            <w:r>
              <w:rPr>
                <w:sz w:val="18"/>
              </w:rPr>
              <w:t>Full platform + multiple integrations + dedicated support + SCRM</w:t>
            </w:r>
          </w:p>
        </w:tc>
      </w:tr>
      <w:tr>
        <w:tc>
          <w:tcPr>
            <w:tcW w:type="dxa" w:w="2160"/>
          </w:tcPr>
          <w:p>
            <w:r/>
            <w:r>
              <w:rPr>
                <w:sz w:val="18"/>
              </w:rPr>
              <w:t>Premium Add-Ons</w:t>
            </w:r>
          </w:p>
        </w:tc>
        <w:tc>
          <w:tcPr>
            <w:tcW w:type="dxa" w:w="2160"/>
          </w:tcPr>
          <w:p>
            <w:r/>
            <w:r>
              <w:rPr>
                <w:sz w:val="18"/>
              </w:rPr>
              <w:t>Any tier</w:t>
            </w:r>
          </w:p>
        </w:tc>
        <w:tc>
          <w:tcPr>
            <w:tcW w:type="dxa" w:w="2160"/>
          </w:tcPr>
          <w:p>
            <w:r/>
            <w:r>
              <w:rPr>
                <w:sz w:val="18"/>
              </w:rPr>
              <w:t>+$10-30K/year</w:t>
            </w:r>
          </w:p>
        </w:tc>
        <w:tc>
          <w:tcPr>
            <w:tcW w:type="dxa" w:w="2160"/>
          </w:tcPr>
          <w:p>
            <w:r/>
            <w:r>
              <w:rPr>
                <w:sz w:val="18"/>
              </w:rPr>
              <w:t>AI Copilot, Supplier Intelligence Graph, advanced analytics</w:t>
            </w:r>
          </w:p>
        </w:tc>
      </w:tr>
    </w:tbl>
    <w:p>
      <w:pPr>
        <w:pStyle w:val="Heading2"/>
      </w:pPr>
      <w:r>
        <w:rPr>
          <w:color w:val="1B4332"/>
        </w:rPr>
        <w:t>Unit Economics (Target)</w:t>
      </w:r>
    </w:p>
    <w:tbl>
      <w:tblPr>
        <w:tblStyle w:val="TableGrid"/>
        <w:tblW w:type="auto" w:w="0"/>
        <w:jc w:val="center"/>
        <w:tblLook w:firstColumn="1" w:firstRow="1" w:lastColumn="0" w:lastRow="0" w:noHBand="0" w:noVBand="1" w:val="04A0"/>
      </w:tblPr>
      <w:tblGrid>
        <w:gridCol w:w="4320"/>
        <w:gridCol w:w="4320"/>
      </w:tblGrid>
      <w:tr>
        <w:tc>
          <w:tcPr>
            <w:tcW w:type="dxa" w:w="4320"/>
            <w:shd w:fill="1B4332" w:val="clear"/>
          </w:tcPr>
          <w:p>
            <w:r/>
            <w:r>
              <w:rPr>
                <w:b/>
                <w:color w:val="FFFFFF"/>
                <w:sz w:val="18"/>
              </w:rPr>
              <w:t>Metric</w:t>
            </w:r>
          </w:p>
        </w:tc>
        <w:tc>
          <w:tcPr>
            <w:tcW w:type="dxa" w:w="4320"/>
            <w:shd w:fill="1B4332" w:val="clear"/>
          </w:tcPr>
          <w:p>
            <w:r/>
            <w:r>
              <w:rPr>
                <w:b/>
                <w:color w:val="FFFFFF"/>
                <w:sz w:val="18"/>
              </w:rPr>
              <w:t>Target</w:t>
            </w:r>
          </w:p>
        </w:tc>
      </w:tr>
      <w:tr>
        <w:tc>
          <w:tcPr>
            <w:tcW w:type="dxa" w:w="4320"/>
          </w:tcPr>
          <w:p>
            <w:r/>
            <w:r>
              <w:rPr>
                <w:sz w:val="18"/>
              </w:rPr>
              <w:t>Gross Margin</w:t>
            </w:r>
          </w:p>
        </w:tc>
        <w:tc>
          <w:tcPr>
            <w:tcW w:type="dxa" w:w="4320"/>
          </w:tcPr>
          <w:p>
            <w:r/>
            <w:r>
              <w:rPr>
                <w:sz w:val="18"/>
              </w:rPr>
              <w:t>80%+</w:t>
            </w:r>
          </w:p>
        </w:tc>
      </w:tr>
      <w:tr>
        <w:tc>
          <w:tcPr>
            <w:tcW w:type="dxa" w:w="4320"/>
          </w:tcPr>
          <w:p>
            <w:r/>
            <w:r>
              <w:rPr>
                <w:sz w:val="18"/>
              </w:rPr>
              <w:t>LTV:CAC Ratio</w:t>
            </w:r>
          </w:p>
        </w:tc>
        <w:tc>
          <w:tcPr>
            <w:tcW w:type="dxa" w:w="4320"/>
          </w:tcPr>
          <w:p>
            <w:r/>
            <w:r>
              <w:rPr>
                <w:sz w:val="18"/>
              </w:rPr>
              <w:t>3:1+</w:t>
            </w:r>
          </w:p>
        </w:tc>
      </w:tr>
      <w:tr>
        <w:tc>
          <w:tcPr>
            <w:tcW w:type="dxa" w:w="4320"/>
          </w:tcPr>
          <w:p>
            <w:r/>
            <w:r>
              <w:rPr>
                <w:sz w:val="18"/>
              </w:rPr>
              <w:t>Net Revenue Retention</w:t>
            </w:r>
          </w:p>
        </w:tc>
        <w:tc>
          <w:tcPr>
            <w:tcW w:type="dxa" w:w="4320"/>
          </w:tcPr>
          <w:p>
            <w:r/>
            <w:r>
              <w:rPr>
                <w:sz w:val="18"/>
              </w:rPr>
              <w:t>110%+</w:t>
            </w:r>
          </w:p>
        </w:tc>
      </w:tr>
      <w:tr>
        <w:tc>
          <w:tcPr>
            <w:tcW w:type="dxa" w:w="4320"/>
          </w:tcPr>
          <w:p>
            <w:r/>
            <w:r>
              <w:rPr>
                <w:sz w:val="18"/>
              </w:rPr>
              <w:t>Payback Period</w:t>
            </w:r>
          </w:p>
        </w:tc>
        <w:tc>
          <w:tcPr>
            <w:tcW w:type="dxa" w:w="4320"/>
          </w:tcPr>
          <w:p>
            <w:r/>
            <w:r>
              <w:rPr>
                <w:sz w:val="18"/>
              </w:rPr>
              <w:t>6–12 months</w:t>
            </w:r>
          </w:p>
        </w:tc>
      </w:tr>
    </w:tbl>
    <w:p>
      <w:pPr>
        <w:pStyle w:val="Heading2"/>
      </w:pPr>
      <w:r>
        <w:rPr>
          <w:color w:val="1B4332"/>
        </w:rPr>
        <w:t>Future Revenue Streams (Year 2+)</w:t>
      </w:r>
    </w:p>
    <w:p>
      <w:pPr>
        <w:pStyle w:val="ListBullet"/>
        <w:ind w:left="720"/>
      </w:pPr>
      <w:r>
        <w:rPr>
          <w:sz w:val="20"/>
        </w:rPr>
        <w:t>Supplier network monetization — Suppliers pay to get rated, benchmark, and improve (EcoVadis model)</w:t>
      </w:r>
    </w:p>
    <w:p>
      <w:pPr>
        <w:pStyle w:val="ListBullet"/>
        <w:ind w:left="720"/>
      </w:pPr>
      <w:r>
        <w:rPr>
          <w:sz w:val="20"/>
        </w:rPr>
        <w:t>Data monetization — Industry benchmarks, anonymized reports, API access for investors/consultants</w:t>
      </w:r>
    </w:p>
    <w:p>
      <w:pPr>
        <w:pStyle w:val="ListBullet"/>
        <w:ind w:left="720"/>
      </w:pPr>
      <w:r>
        <w:rPr>
          <w:sz w:val="20"/>
        </w:rPr>
        <w:t>Premium modules — AI Copilot, Supplier Intelligence Graph, advanced integrations as paid add-ons</w:t>
      </w:r>
    </w:p>
    <w:p>
      <w:r>
        <w:br w:type="page"/>
      </w:r>
    </w:p>
    <w:p>
      <w:pPr>
        <w:pStyle w:val="Heading1"/>
      </w:pPr>
      <w:r>
        <w:rPr>
          <w:color w:val="1B4332"/>
        </w:rPr>
        <w:t>8. Go-to-Market Strategy</w:t>
      </w:r>
    </w:p>
    <w:p>
      <w:r>
        <w:rPr>
          <w:b w:val="0"/>
          <w:sz w:val="20"/>
        </w:rPr>
        <w:t>Option C: Run mid-market (70%) and enterprise division-level (30%) simultaneously.</w:t>
      </w:r>
    </w:p>
    <w:p>
      <w:pPr>
        <w:pStyle w:val="Heading2"/>
      </w:pPr>
      <w:r>
        <w:rPr>
          <w:color w:val="1B4332"/>
        </w:rPr>
        <w:t>Track 1: Mid-Market (70%)</w:t>
      </w:r>
    </w:p>
    <w:p>
      <w:pPr>
        <w:pStyle w:val="ListBullet"/>
        <w:ind w:left="720"/>
      </w:pPr>
      <w:r>
        <w:rPr>
          <w:sz w:val="20"/>
        </w:rPr>
        <w:t>Target: 30–50 customers in 18 months</w:t>
      </w:r>
    </w:p>
    <w:p>
      <w:pPr>
        <w:pStyle w:val="ListBullet"/>
        <w:ind w:left="720"/>
      </w:pPr>
      <w:r>
        <w:rPr>
          <w:sz w:val="20"/>
        </w:rPr>
        <w:t>Buyer: CFO / COO</w:t>
      </w:r>
    </w:p>
    <w:p>
      <w:pPr>
        <w:pStyle w:val="ListBullet"/>
        <w:ind w:left="720"/>
      </w:pPr>
      <w:r>
        <w:rPr>
          <w:sz w:val="20"/>
        </w:rPr>
        <w:t>Deal size: $24–60K/year</w:t>
      </w:r>
    </w:p>
    <w:p>
      <w:pPr>
        <w:pStyle w:val="ListBullet"/>
        <w:ind w:left="720"/>
      </w:pPr>
      <w:r>
        <w:rPr>
          <w:sz w:val="20"/>
        </w:rPr>
        <w:t>Sales cycle: 4–8 weeks</w:t>
      </w:r>
    </w:p>
    <w:p>
      <w:pPr>
        <w:pStyle w:val="ListBullet"/>
        <w:ind w:left="720"/>
      </w:pPr>
      <w:r>
        <w:rPr>
          <w:sz w:val="20"/>
        </w:rPr>
        <w:t>Entry: Compliance filing (CSRD) → expand to SCRM + ROI Engine</w:t>
      </w:r>
    </w:p>
    <w:p>
      <w:pPr>
        <w:pStyle w:val="Heading2"/>
      </w:pPr>
      <w:r>
        <w:rPr>
          <w:color w:val="1B4332"/>
        </w:rPr>
        <w:t>Track 2: Enterprise Division-Level (30%)</w:t>
      </w:r>
    </w:p>
    <w:p>
      <w:pPr>
        <w:pStyle w:val="ListBullet"/>
        <w:ind w:left="720"/>
      </w:pPr>
      <w:r>
        <w:rPr>
          <w:sz w:val="20"/>
        </w:rPr>
        <w:t>Target: 1–2 division deals in 18 months</w:t>
      </w:r>
    </w:p>
    <w:p>
      <w:pPr>
        <w:pStyle w:val="ListBullet"/>
        <w:ind w:left="720"/>
      </w:pPr>
      <w:r>
        <w:rPr>
          <w:sz w:val="20"/>
        </w:rPr>
        <w:t>Buyer: VP Operations / Division CFO</w:t>
      </w:r>
    </w:p>
    <w:p>
      <w:pPr>
        <w:pStyle w:val="ListBullet"/>
        <w:ind w:left="720"/>
      </w:pPr>
      <w:r>
        <w:rPr>
          <w:sz w:val="20"/>
        </w:rPr>
        <w:t>Deal size: $60–100K/year</w:t>
      </w:r>
    </w:p>
    <w:p>
      <w:pPr>
        <w:pStyle w:val="ListBullet"/>
        <w:ind w:left="720"/>
      </w:pPr>
      <w:r>
        <w:rPr>
          <w:sz w:val="20"/>
        </w:rPr>
        <w:t>Sales cycle: 3–6 months</w:t>
      </w:r>
    </w:p>
    <w:p>
      <w:pPr>
        <w:pStyle w:val="ListBullet"/>
        <w:ind w:left="720"/>
      </w:pPr>
      <w:r>
        <w:rPr>
          <w:sz w:val="20"/>
        </w:rPr>
        <w:t>Why division-level: Unilever has 400+ brands. One division is a 2,000-person company with its own budget. Same logo, 4x faster cycle.</w:t>
      </w:r>
    </w:p>
    <w:p>
      <w:pPr>
        <w:pStyle w:val="Heading2"/>
      </w:pPr>
      <w:r>
        <w:rPr>
          <w:color w:val="1B4332"/>
        </w:rPr>
        <w:t>Classic Precedents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332" w:val="clear"/>
          </w:tcPr>
          <w:p>
            <w:r/>
            <w:r>
              <w:rPr>
                <w:b/>
                <w:color w:val="FFFFFF"/>
                <w:sz w:val="18"/>
              </w:rPr>
              <w:t>Company</w:t>
            </w:r>
          </w:p>
        </w:tc>
        <w:tc>
          <w:tcPr>
            <w:tcW w:type="dxa" w:w="2880"/>
            <w:shd w:fill="1B4332" w:val="clear"/>
          </w:tcPr>
          <w:p>
            <w:r/>
            <w:r>
              <w:rPr>
                <w:b/>
                <w:color w:val="FFFFFF"/>
                <w:sz w:val="18"/>
              </w:rPr>
              <w:t>Started As</w:t>
            </w:r>
          </w:p>
        </w:tc>
        <w:tc>
          <w:tcPr>
            <w:tcW w:type="dxa" w:w="2880"/>
            <w:shd w:fill="1B4332" w:val="clear"/>
          </w:tcPr>
          <w:p>
            <w:r/>
            <w:r>
              <w:rPr>
                <w:b/>
                <w:color w:val="FFFFFF"/>
                <w:sz w:val="18"/>
              </w:rPr>
              <w:t>Displaced</w:t>
            </w:r>
          </w:p>
        </w:tc>
      </w:tr>
      <w:tr>
        <w:tc>
          <w:tcPr>
            <w:tcW w:type="dxa" w:w="2880"/>
          </w:tcPr>
          <w:p>
            <w:r/>
            <w:r>
              <w:rPr>
                <w:sz w:val="18"/>
              </w:rPr>
              <w:t>Salesforce</w:t>
            </w:r>
          </w:p>
        </w:tc>
        <w:tc>
          <w:tcPr>
            <w:tcW w:type="dxa" w:w="2880"/>
          </w:tcPr>
          <w:p>
            <w:r/>
            <w:r>
              <w:rPr>
                <w:sz w:val="18"/>
              </w:rPr>
              <w:t>SMB CRM (cheap, fast, cloud)</w:t>
            </w:r>
          </w:p>
        </w:tc>
        <w:tc>
          <w:tcPr>
            <w:tcW w:type="dxa" w:w="2880"/>
          </w:tcPr>
          <w:p>
            <w:r/>
            <w:r>
              <w:rPr>
                <w:sz w:val="18"/>
              </w:rPr>
              <w:t>Siebel (enterprise, on-premise)</w:t>
            </w:r>
          </w:p>
        </w:tc>
      </w:tr>
      <w:tr>
        <w:tc>
          <w:tcPr>
            <w:tcW w:type="dxa" w:w="2880"/>
          </w:tcPr>
          <w:p>
            <w:r/>
            <w:r>
              <w:rPr>
                <w:sz w:val="18"/>
              </w:rPr>
              <w:t>HubSpot</w:t>
            </w:r>
          </w:p>
        </w:tc>
        <w:tc>
          <w:tcPr>
            <w:tcW w:type="dxa" w:w="2880"/>
          </w:tcPr>
          <w:p>
            <w:r/>
            <w:r>
              <w:rPr>
                <w:sz w:val="18"/>
              </w:rPr>
              <w:t>Small business marketing</w:t>
            </w:r>
          </w:p>
        </w:tc>
        <w:tc>
          <w:tcPr>
            <w:tcW w:type="dxa" w:w="2880"/>
          </w:tcPr>
          <w:p>
            <w:r/>
            <w:r>
              <w:rPr>
                <w:sz w:val="18"/>
              </w:rPr>
              <w:t>Marketo, Eloqua</w:t>
            </w:r>
          </w:p>
        </w:tc>
      </w:tr>
      <w:tr>
        <w:tc>
          <w:tcPr>
            <w:tcW w:type="dxa" w:w="2880"/>
          </w:tcPr>
          <w:p>
            <w:r/>
            <w:r>
              <w:rPr>
                <w:sz w:val="18"/>
              </w:rPr>
              <w:t>Zoom</w:t>
            </w:r>
          </w:p>
        </w:tc>
        <w:tc>
          <w:tcPr>
            <w:tcW w:type="dxa" w:w="2880"/>
          </w:tcPr>
          <w:p>
            <w:r/>
            <w:r>
              <w:rPr>
                <w:sz w:val="18"/>
              </w:rPr>
              <w:t>Small team video calls</w:t>
            </w:r>
          </w:p>
        </w:tc>
        <w:tc>
          <w:tcPr>
            <w:tcW w:type="dxa" w:w="2880"/>
          </w:tcPr>
          <w:p>
            <w:r/>
            <w:r>
              <w:rPr>
                <w:sz w:val="18"/>
              </w:rPr>
              <w:t>Cisco WebEx, Skype</w:t>
            </w:r>
          </w:p>
        </w:tc>
      </w:tr>
      <w:tr>
        <w:tc>
          <w:tcPr>
            <w:tcW w:type="dxa" w:w="2880"/>
          </w:tcPr>
          <w:p>
            <w:r/>
            <w:r>
              <w:rPr>
                <w:sz w:val="18"/>
              </w:rPr>
              <w:t>Datadog</w:t>
            </w:r>
          </w:p>
        </w:tc>
        <w:tc>
          <w:tcPr>
            <w:tcW w:type="dxa" w:w="2880"/>
          </w:tcPr>
          <w:p>
            <w:r/>
            <w:r>
              <w:rPr>
                <w:sz w:val="18"/>
              </w:rPr>
              <w:t>Startup infrastructure monitoring</w:t>
            </w:r>
          </w:p>
        </w:tc>
        <w:tc>
          <w:tcPr>
            <w:tcW w:type="dxa" w:w="2880"/>
          </w:tcPr>
          <w:p>
            <w:r/>
            <w:r>
              <w:rPr>
                <w:sz w:val="18"/>
              </w:rPr>
              <w:t>HP OpenView, BMC</w:t>
            </w:r>
          </w:p>
        </w:tc>
      </w:tr>
    </w:tbl>
    <w:p>
      <w:r>
        <w:br w:type="page"/>
      </w:r>
    </w:p>
    <w:p>
      <w:pPr>
        <w:pStyle w:val="Heading1"/>
      </w:pPr>
      <w:r>
        <w:rPr>
          <w:color w:val="1B4332"/>
        </w:rPr>
        <w:t>9. Team</w:t>
      </w:r>
    </w:p>
    <w:p>
      <w:r>
        <w:rPr>
          <w:b w:val="0"/>
          <w:sz w:val="20"/>
        </w:rPr>
        <w:t>[Founders] — Three co-founders with complementary expertise:</w:t>
      </w:r>
    </w:p>
    <w:p>
      <w:pPr>
        <w:pStyle w:val="ListBullet"/>
        <w:ind w:left="720"/>
      </w:pPr>
      <w:r>
        <w:rPr>
          <w:sz w:val="20"/>
        </w:rPr>
        <w:t>Business / Strategy lead — [Name, background]</w:t>
      </w:r>
    </w:p>
    <w:p>
      <w:pPr>
        <w:pStyle w:val="ListBullet"/>
        <w:ind w:left="720"/>
      </w:pPr>
      <w:r>
        <w:rPr>
          <w:sz w:val="20"/>
        </w:rPr>
        <w:t>Technical co-founder — [Name, enterprise SaaS experience, 4-year vesting with 1-year cliff]</w:t>
      </w:r>
    </w:p>
    <w:p>
      <w:pPr>
        <w:pStyle w:val="ListBullet"/>
        <w:ind w:left="720"/>
      </w:pPr>
      <w:r>
        <w:rPr>
          <w:sz w:val="20"/>
        </w:rPr>
        <w:t>ESG domain expert — [Name, ESG regulatory knowledge, builds knowledge base for AI Copilot and Supplier Intelligence scoring]</w:t>
      </w:r>
    </w:p>
    <w:p>
      <w:pPr>
        <w:pStyle w:val="Heading1"/>
      </w:pPr>
      <w:r>
        <w:rPr>
          <w:color w:val="1B4332"/>
        </w:rPr>
        <w:t>10. 90-Day Milestone Plan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332" w:val="clear"/>
          </w:tcPr>
          <w:p>
            <w:r/>
            <w:r>
              <w:rPr>
                <w:b/>
                <w:color w:val="FFFFFF"/>
                <w:sz w:val="18"/>
              </w:rPr>
              <w:t>Period</w:t>
            </w:r>
          </w:p>
        </w:tc>
        <w:tc>
          <w:tcPr>
            <w:tcW w:type="dxa" w:w="2880"/>
            <w:shd w:fill="1B4332" w:val="clear"/>
          </w:tcPr>
          <w:p>
            <w:r/>
            <w:r>
              <w:rPr>
                <w:b/>
                <w:color w:val="FFFFFF"/>
                <w:sz w:val="18"/>
              </w:rPr>
              <w:t>Milestone</w:t>
            </w:r>
          </w:p>
        </w:tc>
        <w:tc>
          <w:tcPr>
            <w:tcW w:type="dxa" w:w="2880"/>
            <w:shd w:fill="1B4332" w:val="clear"/>
          </w:tcPr>
          <w:p>
            <w:r/>
            <w:r>
              <w:rPr>
                <w:b/>
                <w:color w:val="FFFFFF"/>
                <w:sz w:val="18"/>
              </w:rPr>
              <w:t>Success Metric</w:t>
            </w:r>
          </w:p>
        </w:tc>
      </w:tr>
      <w:tr>
        <w:tc>
          <w:tcPr>
            <w:tcW w:type="dxa" w:w="2880"/>
          </w:tcPr>
          <w:p>
            <w:r/>
            <w:r>
              <w:rPr>
                <w:sz w:val="18"/>
              </w:rPr>
              <w:t>Days 1–30</w:t>
            </w:r>
          </w:p>
        </w:tc>
        <w:tc>
          <w:tcPr>
            <w:tcW w:type="dxa" w:w="2880"/>
          </w:tcPr>
          <w:p>
            <w:r/>
            <w:r>
              <w:rPr>
                <w:sz w:val="18"/>
              </w:rPr>
              <w:t>MVP launch with core features: Data Orchestration + ERP integration + Real-Time Monitoring + supplier messaging collection</w:t>
            </w:r>
          </w:p>
        </w:tc>
        <w:tc>
          <w:tcPr>
            <w:tcW w:type="dxa" w:w="2880"/>
          </w:tcPr>
          <w:p>
            <w:r/>
            <w:r>
              <w:rPr>
                <w:sz w:val="18"/>
              </w:rPr>
              <w:t>1 ERP integration live, platform deployed</w:t>
            </w:r>
          </w:p>
        </w:tc>
      </w:tr>
      <w:tr>
        <w:tc>
          <w:tcPr>
            <w:tcW w:type="dxa" w:w="2880"/>
          </w:tcPr>
          <w:p>
            <w:r/>
            <w:r>
              <w:rPr>
                <w:sz w:val="18"/>
              </w:rPr>
              <w:t>Days 30–60</w:t>
            </w:r>
          </w:p>
        </w:tc>
        <w:tc>
          <w:tcPr>
            <w:tcW w:type="dxa" w:w="2880"/>
          </w:tcPr>
          <w:p>
            <w:r/>
            <w:r>
              <w:rPr>
                <w:sz w:val="18"/>
              </w:rPr>
              <w:t>Onboard first 3 pilot customers from Bangladesh garments</w:t>
            </w:r>
          </w:p>
        </w:tc>
        <w:tc>
          <w:tcPr>
            <w:tcW w:type="dxa" w:w="2880"/>
          </w:tcPr>
          <w:p>
            <w:r/>
            <w:r>
              <w:rPr>
                <w:sz w:val="18"/>
              </w:rPr>
              <w:t>3 pilot contracts signed, weekly active usage</w:t>
            </w:r>
          </w:p>
        </w:tc>
      </w:tr>
      <w:tr>
        <w:tc>
          <w:tcPr>
            <w:tcW w:type="dxa" w:w="2880"/>
          </w:tcPr>
          <w:p>
            <w:r/>
            <w:r>
              <w:rPr>
                <w:sz w:val="18"/>
              </w:rPr>
              <w:t>Days 60–90</w:t>
            </w:r>
          </w:p>
        </w:tc>
        <w:tc>
          <w:tcPr>
            <w:tcW w:type="dxa" w:w="2880"/>
          </w:tcPr>
          <w:p>
            <w:r/>
            <w:r>
              <w:rPr>
                <w:sz w:val="18"/>
              </w:rPr>
              <w:t>Close 2 paying customers + begin AI Copilot development + begin Supplier Intelligence Graph v1</w:t>
            </w:r>
          </w:p>
        </w:tc>
        <w:tc>
          <w:tcPr>
            <w:tcW w:type="dxa" w:w="2880"/>
          </w:tcPr>
          <w:p>
            <w:r/>
            <w:r>
              <w:rPr>
                <w:sz w:val="18"/>
              </w:rPr>
              <w:t>2 paying customers ($2-5K/month), product roadmap validated</w:t>
            </w:r>
          </w:p>
        </w:tc>
      </w:tr>
    </w:tbl>
    <w:p>
      <w:pPr>
        <w:pStyle w:val="Heading2"/>
      </w:pPr>
      <w:r>
        <w:rPr>
          <w:color w:val="1B4332"/>
        </w:rPr>
        <w:t>18-Month Roadmap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332" w:val="clear"/>
          </w:tcPr>
          <w:p>
            <w:r/>
            <w:r>
              <w:rPr>
                <w:b/>
                <w:color w:val="FFFFFF"/>
                <w:sz w:val="18"/>
              </w:rPr>
              <w:t>Period</w:t>
            </w:r>
          </w:p>
        </w:tc>
        <w:tc>
          <w:tcPr>
            <w:tcW w:type="dxa" w:w="2880"/>
            <w:shd w:fill="1B4332" w:val="clear"/>
          </w:tcPr>
          <w:p>
            <w:r/>
            <w:r>
              <w:rPr>
                <w:b/>
                <w:color w:val="FFFFFF"/>
                <w:sz w:val="18"/>
              </w:rPr>
              <w:t>Focus</w:t>
            </w:r>
          </w:p>
        </w:tc>
        <w:tc>
          <w:tcPr>
            <w:tcW w:type="dxa" w:w="2880"/>
            <w:shd w:fill="1B4332" w:val="clear"/>
          </w:tcPr>
          <w:p>
            <w:r/>
            <w:r>
              <w:rPr>
                <w:b/>
                <w:color w:val="FFFFFF"/>
                <w:sz w:val="18"/>
              </w:rPr>
              <w:t>Features</w:t>
            </w:r>
          </w:p>
        </w:tc>
      </w:tr>
      <w:tr>
        <w:tc>
          <w:tcPr>
            <w:tcW w:type="dxa" w:w="2880"/>
          </w:tcPr>
          <w:p>
            <w:r/>
            <w:r>
              <w:rPr>
                <w:sz w:val="18"/>
              </w:rPr>
              <w:t>Months 1–6</w:t>
            </w:r>
          </w:p>
        </w:tc>
        <w:tc>
          <w:tcPr>
            <w:tcW w:type="dxa" w:w="2880"/>
          </w:tcPr>
          <w:p>
            <w:r/>
            <w:r>
              <w:rPr>
                <w:sz w:val="18"/>
              </w:rPr>
              <w:t>Core platform + market entry</w:t>
            </w:r>
          </w:p>
        </w:tc>
        <w:tc>
          <w:tcPr>
            <w:tcW w:type="dxa" w:w="2880"/>
          </w:tcPr>
          <w:p>
            <w:r/>
            <w:r>
              <w:rPr>
                <w:sz w:val="18"/>
              </w:rPr>
              <w:t>ERP integrations, framework mapping, real-time monitoring, supplier messaging, ROI Engine</w:t>
            </w:r>
          </w:p>
        </w:tc>
      </w:tr>
      <w:tr>
        <w:tc>
          <w:tcPr>
            <w:tcW w:type="dxa" w:w="2880"/>
          </w:tcPr>
          <w:p>
            <w:r/>
            <w:r>
              <w:rPr>
                <w:sz w:val="18"/>
              </w:rPr>
              <w:t>Months 6–12</w:t>
            </w:r>
          </w:p>
        </w:tc>
        <w:tc>
          <w:tcPr>
            <w:tcW w:type="dxa" w:w="2880"/>
          </w:tcPr>
          <w:p>
            <w:r/>
            <w:r>
              <w:rPr>
                <w:sz w:val="18"/>
              </w:rPr>
              <w:t>AI layer + market expansion</w:t>
            </w:r>
          </w:p>
        </w:tc>
        <w:tc>
          <w:tcPr>
            <w:tcW w:type="dxa" w:w="2880"/>
          </w:tcPr>
          <w:p>
            <w:r/>
            <w:r>
              <w:rPr>
                <w:sz w:val="18"/>
              </w:rPr>
              <w:t>AI Copilot, Supplier Intelligence Graph v1, Vietnam + India market entry</w:t>
            </w:r>
          </w:p>
        </w:tc>
      </w:tr>
      <w:tr>
        <w:tc>
          <w:tcPr>
            <w:tcW w:type="dxa" w:w="2880"/>
          </w:tcPr>
          <w:p>
            <w:r/>
            <w:r>
              <w:rPr>
                <w:sz w:val="18"/>
              </w:rPr>
              <w:t>Months 12–18</w:t>
            </w:r>
          </w:p>
        </w:tc>
        <w:tc>
          <w:tcPr>
            <w:tcW w:type="dxa" w:w="2880"/>
          </w:tcPr>
          <w:p>
            <w:r/>
            <w:r>
              <w:rPr>
                <w:sz w:val="18"/>
              </w:rPr>
              <w:t>Enterprise push + intelligence expansion</w:t>
            </w:r>
          </w:p>
        </w:tc>
        <w:tc>
          <w:tcPr>
            <w:tcW w:type="dxa" w:w="2880"/>
          </w:tcPr>
          <w:p>
            <w:r/>
            <w:r>
              <w:rPr>
                <w:sz w:val="18"/>
              </w:rPr>
              <w:t>Multilingual supplier intelligence, enterprise features, supplier network monetization pilot</w:t>
            </w:r>
          </w:p>
        </w:tc>
      </w:tr>
    </w:tbl>
    <w:p>
      <w:r>
        <w:br w:type="page"/>
      </w:r>
    </w:p>
    <w:p>
      <w:pPr>
        <w:pStyle w:val="Heading1"/>
      </w:pPr>
      <w:r>
        <w:rPr>
          <w:color w:val="1B4332"/>
        </w:rPr>
        <w:t>11. The Ask</w:t>
      </w:r>
    </w:p>
    <w:tbl>
      <w:tblPr>
        <w:tblStyle w:val="TableGrid"/>
        <w:tblW w:type="auto" w:w="0"/>
        <w:jc w:val="center"/>
        <w:tblLook w:firstColumn="1" w:firstRow="1" w:lastColumn="0" w:lastRow="0" w:noHBand="0" w:noVBand="1" w:val="04A0"/>
      </w:tblPr>
      <w:tblGrid>
        <w:gridCol w:w="4320"/>
        <w:gridCol w:w="4320"/>
      </w:tblGrid>
      <w:tr>
        <w:tc>
          <w:tcPr>
            <w:tcW w:type="dxa" w:w="4320"/>
            <w:shd w:fill="1B4332" w:val="clear"/>
          </w:tcPr>
          <w:p>
            <w:r/>
            <w:r>
              <w:rPr>
                <w:b/>
                <w:color w:val="FFFFFF"/>
                <w:sz w:val="18"/>
              </w:rPr>
            </w:r>
          </w:p>
        </w:tc>
        <w:tc>
          <w:tcPr>
            <w:tcW w:type="dxa" w:w="4320"/>
            <w:shd w:fill="1B4332" w:val="clear"/>
          </w:tcPr>
          <w:p>
            <w:r/>
            <w:r>
              <w:rPr>
                <w:b/>
                <w:color w:val="FFFFFF"/>
                <w:sz w:val="18"/>
              </w:rPr>
            </w:r>
          </w:p>
        </w:tc>
      </w:tr>
      <w:tr>
        <w:tc>
          <w:tcPr>
            <w:tcW w:type="dxa" w:w="4320"/>
          </w:tcPr>
          <w:p>
            <w:r/>
            <w:r>
              <w:rPr>
                <w:sz w:val="18"/>
              </w:rPr>
              <w:t>Raise</w:t>
            </w:r>
          </w:p>
        </w:tc>
        <w:tc>
          <w:tcPr>
            <w:tcW w:type="dxa" w:w="4320"/>
          </w:tcPr>
          <w:p>
            <w:r/>
            <w:r>
              <w:rPr>
                <w:sz w:val="18"/>
              </w:rPr>
              <w:t>$1.5–2.5M seed round</w:t>
            </w:r>
          </w:p>
        </w:tc>
      </w:tr>
      <w:tr>
        <w:tc>
          <w:tcPr>
            <w:tcW w:type="dxa" w:w="4320"/>
          </w:tcPr>
          <w:p>
            <w:r/>
            <w:r>
              <w:rPr>
                <w:sz w:val="18"/>
              </w:rPr>
              <w:t>Use of Funds</w:t>
            </w:r>
          </w:p>
        </w:tc>
        <w:tc>
          <w:tcPr>
            <w:tcW w:type="dxa" w:w="4320"/>
          </w:tcPr>
          <w:p>
            <w:r/>
            <w:r>
              <w:rPr>
                <w:sz w:val="18"/>
              </w:rPr>
              <w:t>40% engineering (product build), 30% sales &amp; marketing (customer acquisition), 20% operations (infrastructure + integrations), 10% working capital</w:t>
            </w:r>
          </w:p>
        </w:tc>
      </w:tr>
      <w:tr>
        <w:tc>
          <w:tcPr>
            <w:tcW w:type="dxa" w:w="4320"/>
          </w:tcPr>
          <w:p>
            <w:r/>
            <w:r>
              <w:rPr>
                <w:sz w:val="18"/>
              </w:rPr>
              <w:t>Runway</w:t>
            </w:r>
          </w:p>
        </w:tc>
        <w:tc>
          <w:tcPr>
            <w:tcW w:type="dxa" w:w="4320"/>
          </w:tcPr>
          <w:p>
            <w:r/>
            <w:r>
              <w:rPr>
                <w:sz w:val="18"/>
              </w:rPr>
              <w:t>18 months</w:t>
            </w:r>
          </w:p>
        </w:tc>
      </w:tr>
      <w:tr>
        <w:tc>
          <w:tcPr>
            <w:tcW w:type="dxa" w:w="4320"/>
          </w:tcPr>
          <w:p>
            <w:r/>
            <w:r>
              <w:rPr>
                <w:sz w:val="18"/>
              </w:rPr>
              <w:t>Target</w:t>
            </w:r>
          </w:p>
        </w:tc>
        <w:tc>
          <w:tcPr>
            <w:tcW w:type="dxa" w:w="4320"/>
          </w:tcPr>
          <w:p>
            <w:r/>
            <w:r>
              <w:rPr>
                <w:sz w:val="18"/>
              </w:rPr>
              <w:t>30–50 customers, $1M+ ARR</w:t>
            </w:r>
          </w:p>
        </w:tc>
      </w:tr>
      <w:tr>
        <w:tc>
          <w:tcPr>
            <w:tcW w:type="dxa" w:w="4320"/>
          </w:tcPr>
          <w:p>
            <w:r/>
            <w:r>
              <w:rPr>
                <w:sz w:val="18"/>
              </w:rPr>
              <w:t>Valuation</w:t>
            </w:r>
          </w:p>
        </w:tc>
        <w:tc>
          <w:tcPr>
            <w:tcW w:type="dxa" w:w="4320"/>
          </w:tcPr>
          <w:p>
            <w:r/>
            <w:r>
              <w:rPr>
                <w:sz w:val="18"/>
              </w:rPr>
              <w:t>$8–10M pre-money (Tier 1 milestones met)</w:t>
            </w:r>
          </w:p>
        </w:tc>
      </w:tr>
    </w:tbl>
    <w:p>
      <w:pPr>
        <w:pStyle w:val="Heading2"/>
      </w:pPr>
      <w:r>
        <w:rPr>
          <w:color w:val="1B4332"/>
        </w:rPr>
        <w:t>Investment Tiers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4332" w:val="clear"/>
          </w:tcPr>
          <w:p>
            <w:r/>
            <w:r>
              <w:rPr>
                <w:b/>
                <w:color w:val="FFFFFF"/>
                <w:sz w:val="18"/>
              </w:rPr>
              <w:t>Tier</w:t>
            </w:r>
          </w:p>
        </w:tc>
        <w:tc>
          <w:tcPr>
            <w:tcW w:type="dxa" w:w="2160"/>
            <w:shd w:fill="1B4332" w:val="clear"/>
          </w:tcPr>
          <w:p>
            <w:r/>
            <w:r>
              <w:rPr>
                <w:b/>
                <w:color w:val="FFFFFF"/>
                <w:sz w:val="18"/>
              </w:rPr>
              <w:t>Milestones</w:t>
            </w:r>
          </w:p>
        </w:tc>
        <w:tc>
          <w:tcPr>
            <w:tcW w:type="dxa" w:w="2160"/>
            <w:shd w:fill="1B4332" w:val="clear"/>
          </w:tcPr>
          <w:p>
            <w:r/>
            <w:r>
              <w:rPr>
                <w:b/>
                <w:color w:val="FFFFFF"/>
                <w:sz w:val="18"/>
              </w:rPr>
              <w:t>Investment</w:t>
            </w:r>
          </w:p>
        </w:tc>
        <w:tc>
          <w:tcPr>
            <w:tcW w:type="dxa" w:w="2160"/>
            <w:shd w:fill="1B4332" w:val="clear"/>
          </w:tcPr>
          <w:p>
            <w:r/>
            <w:r>
              <w:rPr>
                <w:b/>
                <w:color w:val="FFFFFF"/>
                <w:sz w:val="18"/>
              </w:rPr>
              <w:t>Valuation</w:t>
            </w:r>
          </w:p>
        </w:tc>
      </w:tr>
      <w:tr>
        <w:tc>
          <w:tcPr>
            <w:tcW w:type="dxa" w:w="2160"/>
          </w:tcPr>
          <w:p>
            <w:r/>
            <w:r>
              <w:rPr>
                <w:sz w:val="18"/>
              </w:rPr>
              <w:t>Tier 1 — Take My Money</w:t>
            </w:r>
          </w:p>
        </w:tc>
        <w:tc>
          <w:tcPr>
            <w:tcW w:type="dxa" w:w="2160"/>
          </w:tcPr>
          <w:p>
            <w:r/>
            <w:r>
              <w:rPr>
                <w:sz w:val="18"/>
              </w:rPr>
              <w:t>5 customers, $2-5K/month ACV, 3+ inbound, weekly usage, 1+ renewal</w:t>
            </w:r>
          </w:p>
        </w:tc>
        <w:tc>
          <w:tcPr>
            <w:tcW w:type="dxa" w:w="2160"/>
          </w:tcPr>
          <w:p>
            <w:r/>
            <w:r>
              <w:rPr>
                <w:sz w:val="18"/>
              </w:rPr>
              <w:t>$2M seed</w:t>
            </w:r>
          </w:p>
        </w:tc>
        <w:tc>
          <w:tcPr>
            <w:tcW w:type="dxa" w:w="2160"/>
          </w:tcPr>
          <w:p>
            <w:r/>
            <w:r>
              <w:rPr>
                <w:sz w:val="18"/>
              </w:rPr>
              <w:t>$8-10M pre-money</w:t>
            </w:r>
          </w:p>
        </w:tc>
      </w:tr>
      <w:tr>
        <w:tc>
          <w:tcPr>
            <w:tcW w:type="dxa" w:w="2160"/>
          </w:tcPr>
          <w:p>
            <w:r/>
            <w:r>
              <w:rPr>
                <w:sz w:val="18"/>
              </w:rPr>
              <w:t>Tier 2 — Come Back in 6 Mo</w:t>
            </w:r>
          </w:p>
        </w:tc>
        <w:tc>
          <w:tcPr>
            <w:tcW w:type="dxa" w:w="2160"/>
          </w:tcPr>
          <w:p>
            <w:r/>
            <w:r>
              <w:rPr>
                <w:sz w:val="18"/>
              </w:rPr>
              <w:t>5 customers, warm network, low ACV, high churn risk</w:t>
            </w:r>
          </w:p>
        </w:tc>
        <w:tc>
          <w:tcPr>
            <w:tcW w:type="dxa" w:w="2160"/>
          </w:tcPr>
          <w:p>
            <w:r/>
            <w:r>
              <w:rPr>
                <w:sz w:val="18"/>
              </w:rPr>
              <w:t>$500K-1M pre-seed</w:t>
            </w:r>
          </w:p>
        </w:tc>
        <w:tc>
          <w:tcPr>
            <w:tcW w:type="dxa" w:w="2160"/>
          </w:tcPr>
          <w:p>
            <w:r/>
            <w:r>
              <w:rPr>
                <w:sz w:val="18"/>
              </w:rPr>
              <w:t>$3-4M pre-money</w:t>
            </w:r>
          </w:p>
        </w:tc>
      </w:tr>
      <w:tr>
        <w:tc>
          <w:tcPr>
            <w:tcW w:type="dxa" w:w="2160"/>
          </w:tcPr>
          <w:p>
            <w:r/>
            <w:r>
              <w:rPr>
                <w:sz w:val="18"/>
              </w:rPr>
              <w:t>Tier 3 — No Thanks</w:t>
            </w:r>
          </w:p>
        </w:tc>
        <w:tc>
          <w:tcPr>
            <w:tcW w:type="dxa" w:w="2160"/>
          </w:tcPr>
          <w:p>
            <w:r/>
            <w:r>
              <w:rPr>
                <w:sz w:val="18"/>
              </w:rPr>
              <w:t>None mid-market, no integration, not using SCRM</w:t>
            </w:r>
          </w:p>
        </w:tc>
        <w:tc>
          <w:tcPr>
            <w:tcW w:type="dxa" w:w="2160"/>
          </w:tcPr>
          <w:p>
            <w:r/>
            <w:r>
              <w:rPr>
                <w:sz w:val="18"/>
              </w:rPr>
              <w:t>No investment</w:t>
            </w:r>
          </w:p>
        </w:tc>
        <w:tc>
          <w:tcPr>
            <w:tcW w:type="dxa" w:w="2160"/>
          </w:tcPr>
          <w:p>
            <w:r/>
            <w:r>
              <w:rPr>
                <w:sz w:val="18"/>
              </w:rPr>
              <w:t>—</w:t>
            </w:r>
          </w:p>
        </w:tc>
      </w:tr>
    </w:tbl>
    <w:p>
      <w:pPr>
        <w:pStyle w:val="Heading1"/>
      </w:pPr>
      <w:r>
        <w:rPr>
          <w:color w:val="1B4332"/>
        </w:rPr>
        <w:t>12. Why Now</w:t>
      </w:r>
    </w:p>
    <w:p>
      <w:pPr>
        <w:pStyle w:val="ListBullet"/>
        <w:ind w:left="720"/>
      </w:pPr>
      <w:r>
        <w:rPr>
          <w:sz w:val="20"/>
        </w:rPr>
        <w:t>CSRD compliance deadlines hit 2025–2026 — companies need a solution NOW, not in 2 years</w:t>
      </w:r>
    </w:p>
    <w:p>
      <w:pPr>
        <w:pStyle w:val="ListBullet"/>
        <w:ind w:left="720"/>
      </w:pPr>
      <w:r>
        <w:rPr>
          <w:sz w:val="20"/>
        </w:rPr>
        <w:t>Mid-market gap is real — Sweep, Persefoni, and Watershed all target enterprise. Nobody is purpose-building for 500–5,000 employee companies</w:t>
      </w:r>
    </w:p>
    <w:p>
      <w:pPr>
        <w:pStyle w:val="ListBullet"/>
        <w:ind w:left="720"/>
      </w:pPr>
      <w:r>
        <w:rPr>
          <w:sz w:val="20"/>
        </w:rPr>
        <w:t>ESG + SCRM combined is structurally unique — no competitor does both in one platform</w:t>
      </w:r>
    </w:p>
    <w:p>
      <w:pPr>
        <w:pStyle w:val="ListBullet"/>
        <w:ind w:left="720"/>
      </w:pPr>
      <w:r>
        <w:rPr>
          <w:sz w:val="20"/>
        </w:rPr>
        <w:t>18-month window before well-funded incumbents move down-market</w:t>
      </w:r>
    </w:p>
    <w:p>
      <w:pPr>
        <w:pStyle w:val="ListBullet"/>
        <w:ind w:left="720"/>
      </w:pPr>
      <w:r>
        <w:rPr>
          <w:sz w:val="20"/>
        </w:rPr>
        <w:t>Consumer demand confirms structural tailwind — 76–80% prefer ESG-focused companies</w:t>
      </w:r>
    </w:p>
    <w:p>
      <w:pPr>
        <w:pStyle w:val="ListBullet"/>
        <w:ind w:left="720"/>
      </w:pPr>
      <w:r>
        <w:rPr>
          <w:sz w:val="20"/>
        </w:rPr>
        <w:t>Asian mid-market is underserved — Bangladesh, Vietnam, India, Thailand, Indonesia have thousands of companies facing EU compliance for the first time</w:t>
      </w:r>
    </w:p>
    <w:p>
      <w:pPr>
        <w:pStyle w:val="ListBullet"/>
        <w:ind w:left="720"/>
      </w:pPr>
      <w:r>
        <w:rPr>
          <w:sz w:val="20"/>
        </w:rPr>
        <w:t>IoT infrastructure exists — mid-market manufacturers already have sensors, smart meters, and PLC lines. Real-time monitoring is a software problem, not a hardware problem</w:t>
      </w:r>
    </w:p>
    <w:p>
      <w:r>
        <w:rPr>
          <w:b w:val="0"/>
          <w:sz w:val="20"/>
        </w:rPr>
      </w:r>
    </w:p>
    <w:p>
      <w:pPr>
        <w:jc w:val="center"/>
      </w:pPr>
      <w:r>
        <w:rPr>
          <w:b/>
          <w:color w:val="1B4332"/>
          <w:sz w:val="28"/>
        </w:rPr>
        <w:t>The founders have 90 days. The clock is ticking.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