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ADMINSERVICES</w:t>
      </w:r>
    </w:p>
    <w:p>
      <w:pPr>
        <w:jc w:val="center"/>
      </w:pPr>
      <w:r>
        <w:rPr>
          <w:b/>
          <w:sz w:val="42"/>
        </w:rPr>
        <w:t>Developer Master Product &amp; Platform Blueprint</w:t>
      </w:r>
    </w:p>
    <w:p>
      <w:pPr>
        <w:jc w:val="center"/>
      </w:pPr>
      <w:r>
        <w:rPr>
          <w:b/>
          <w:sz w:val="30"/>
        </w:rPr>
        <w:t>ORCHESTRA ARCHITECTURE — V1.0</w:t>
      </w:r>
    </w:p>
    <w:p>
      <w:pPr>
        <w:jc w:val="center"/>
      </w:pPr>
      <w:r>
        <w:rPr>
          <w:i/>
        </w:rPr>
        <w:t>The Digital Administration Operating System for Multi-Location Enterprises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Document</w:t>
            </w:r>
          </w:p>
        </w:tc>
        <w:tc>
          <w:tcPr>
            <w:tcW w:type="dxa" w:w="5112"/>
            <w:shd w:fill="D9EAF7"/>
          </w:tcPr>
          <w:p>
            <w:r>
              <w:rPr>
                <w:b/>
                <w:sz w:val="17"/>
              </w:rPr>
              <w:t>Definition</w:t>
            </w:r>
          </w:p>
        </w:tc>
      </w:tr>
      <w:tr>
        <w:tc>
          <w:tcPr>
            <w:tcW w:type="dxa" w:w="5112"/>
            <w:vAlign w:val="center"/>
          </w:tcPr>
          <w:p>
            <w:r>
              <w:rPr>
                <w:sz w:val="17"/>
              </w:rPr>
              <w:t>Purpose</w:t>
            </w:r>
          </w:p>
        </w:tc>
        <w:tc>
          <w:tcPr>
            <w:tcW w:type="dxa" w:w="5112"/>
            <w:vAlign w:val="center"/>
          </w:tcPr>
          <w:p>
            <w:r>
              <w:rPr>
                <w:sz w:val="17"/>
              </w:rPr>
              <w:t>Developer-ready product, architecture and functional blueprint.</w:t>
            </w:r>
          </w:p>
        </w:tc>
      </w:tr>
      <w:tr>
        <w:tc>
          <w:tcPr>
            <w:tcW w:type="dxa" w:w="5112"/>
            <w:vAlign w:val="center"/>
          </w:tcPr>
          <w:p>
            <w:r>
              <w:rPr>
                <w:sz w:val="17"/>
              </w:rPr>
              <w:t>Primary theme</w:t>
            </w:r>
          </w:p>
        </w:tc>
        <w:tc>
          <w:tcPr>
            <w:tcW w:type="dxa" w:w="5112"/>
            <w:vAlign w:val="center"/>
          </w:tcPr>
          <w:p>
            <w:r>
              <w:rPr>
                <w:sz w:val="17"/>
              </w:rPr>
              <w:t>AI Objective &amp; Work Orchestration / Orchestra.</w:t>
            </w:r>
          </w:p>
        </w:tc>
      </w:tr>
      <w:tr>
        <w:tc>
          <w:tcPr>
            <w:tcW w:type="dxa" w:w="5112"/>
            <w:vAlign w:val="center"/>
          </w:tcPr>
          <w:p>
            <w:r>
              <w:rPr>
                <w:sz w:val="17"/>
              </w:rPr>
              <w:t>Architecture principle</w:t>
            </w:r>
          </w:p>
        </w:tc>
        <w:tc>
          <w:tcPr>
            <w:tcW w:type="dxa" w:w="5112"/>
            <w:vAlign w:val="center"/>
          </w:tcPr>
          <w:p>
            <w:r>
              <w:rPr>
                <w:sz w:val="17"/>
              </w:rPr>
              <w:t>One business objective/event becomes coordinated work across people, policies, workflows, modules, vendors, systems and evidence.</w:t>
            </w:r>
          </w:p>
        </w:tc>
      </w:tr>
      <w:tr>
        <w:tc>
          <w:tcPr>
            <w:tcW w:type="dxa" w:w="5112"/>
            <w:vAlign w:val="center"/>
          </w:tcPr>
          <w:p>
            <w:r>
              <w:rPr>
                <w:sz w:val="17"/>
              </w:rPr>
              <w:t>Source basis</w:t>
            </w:r>
          </w:p>
        </w:tc>
        <w:tc>
          <w:tcPr>
            <w:tcW w:type="dxa" w:w="5112"/>
            <w:vAlign w:val="center"/>
          </w:tcPr>
          <w:p>
            <w:r>
              <w:rPr>
                <w:sz w:val="17"/>
              </w:rPr>
              <w:t>User-provided overall idea.docx, aligned with the established AdminServices Orchestra concept.</w:t>
            </w:r>
          </w:p>
        </w:tc>
      </w:tr>
      <w:tr>
        <w:tc>
          <w:tcPr>
            <w:tcW w:type="dxa" w:w="5112"/>
            <w:vAlign w:val="center"/>
          </w:tcPr>
          <w:p>
            <w:r>
              <w:rPr>
                <w:sz w:val="17"/>
              </w:rPr>
              <w:t>Status</w:t>
            </w:r>
          </w:p>
        </w:tc>
        <w:tc>
          <w:tcPr>
            <w:tcW w:type="dxa" w:w="5112"/>
            <w:vAlign w:val="center"/>
          </w:tcPr>
          <w:p>
            <w:r>
              <w:rPr>
                <w:sz w:val="17"/>
              </w:rPr>
              <w:t>V1.0 — foundation for PRD, system design, backlog and development estimates.</w:t>
            </w:r>
          </w:p>
        </w:tc>
      </w:tr>
    </w:tbl>
    <w:p/>
    <w:p>
      <w:pPr>
        <w:jc w:val="center"/>
      </w:pPr>
      <w:r>
        <w:rPr>
          <w:b/>
          <w:sz w:val="18"/>
        </w:rPr>
        <w:t>CONFIDENTIAL — PRODUCT / ENGINEERING / IMPLEMENTATION</w:t>
      </w:r>
    </w:p>
    <w:p>
      <w:r>
        <w:br w:type="page"/>
      </w:r>
    </w:p>
    <w:p>
      <w:pPr>
        <w:pStyle w:val="Heading1"/>
      </w:pPr>
      <w:r>
        <w:t>1. Executive Product Definition</w:t>
      </w:r>
    </w:p>
    <w:p>
      <w:r>
        <w:t>AdminServices is not a conventional ticketing, CAFM, helpdesk or workflow application. It is an enterprise administration operating system whose central capability is to understand an objective, assemble the required context, apply company policy, orchestrate people and systems, drive actions to completion, capture evidence, verify the outcome and learn from operational data.</w:t>
      </w:r>
    </w:p>
    <w:p>
      <w:r>
        <w:t>The Orchestra is the central coordination layer. Functional modules remain specialised participants; the Orchestra makes them work together around the business outcome.</w:t>
      </w:r>
    </w:p>
    <w:p>
      <w:pPr>
        <w:pStyle w:val="Heading2"/>
      </w:pPr>
      <w:r>
        <w:t>Core principle</w:t>
      </w:r>
    </w:p>
    <w:p>
      <w:r>
        <w:rPr>
          <w:b/>
        </w:rPr>
        <w:t>Every administrative objective becomes an orchestrated workflow, and AI continuously drives it to closure.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Traditional system</w:t>
            </w:r>
          </w:p>
        </w:tc>
        <w:tc>
          <w:tcPr>
            <w:tcW w:type="dxa" w:w="5112"/>
            <w:shd w:fill="D9EAF7"/>
          </w:tcPr>
          <w:p>
            <w:r>
              <w:rPr>
                <w:b/>
                <w:sz w:val="17"/>
              </w:rPr>
              <w:t>AdminServices Orchestra</w:t>
            </w:r>
          </w:p>
        </w:tc>
      </w:tr>
      <w:tr>
        <w:tc>
          <w:tcPr>
            <w:tcW w:type="dxa" w:w="5112"/>
            <w:vAlign w:val="center"/>
          </w:tcPr>
          <w:p>
            <w:r>
              <w:rPr>
                <w:sz w:val="17"/>
              </w:rPr>
              <w:t>Waits for a ticket</w:t>
            </w:r>
          </w:p>
        </w:tc>
        <w:tc>
          <w:tcPr>
            <w:tcW w:type="dxa" w:w="5112"/>
            <w:vAlign w:val="center"/>
          </w:tcPr>
          <w:p>
            <w:r>
              <w:rPr>
                <w:sz w:val="17"/>
              </w:rPr>
              <w:t>Understands objectives and triggers proactive work</w:t>
            </w:r>
          </w:p>
        </w:tc>
      </w:tr>
      <w:tr>
        <w:tc>
          <w:tcPr>
            <w:tcW w:type="dxa" w:w="5112"/>
            <w:vAlign w:val="center"/>
          </w:tcPr>
          <w:p>
            <w:r>
              <w:rPr>
                <w:sz w:val="17"/>
              </w:rPr>
              <w:t>Routes to one module</w:t>
            </w:r>
          </w:p>
        </w:tc>
        <w:tc>
          <w:tcPr>
            <w:tcW w:type="dxa" w:w="5112"/>
            <w:vAlign w:val="center"/>
          </w:tcPr>
          <w:p>
            <w:r>
              <w:rPr>
                <w:sz w:val="17"/>
              </w:rPr>
              <w:t>Coordinates multiple modules and participants</w:t>
            </w:r>
          </w:p>
        </w:tc>
      </w:tr>
      <w:tr>
        <w:tc>
          <w:tcPr>
            <w:tcW w:type="dxa" w:w="5112"/>
            <w:vAlign w:val="center"/>
          </w:tcPr>
          <w:p>
            <w:r>
              <w:rPr>
                <w:sz w:val="17"/>
              </w:rPr>
              <w:t>Records activity</w:t>
            </w:r>
          </w:p>
        </w:tc>
        <w:tc>
          <w:tcPr>
            <w:tcW w:type="dxa" w:w="5112"/>
            <w:vAlign w:val="center"/>
          </w:tcPr>
          <w:p>
            <w:r>
              <w:rPr>
                <w:sz w:val="17"/>
              </w:rPr>
              <w:t>Drives execution and verifies outcome</w:t>
            </w:r>
          </w:p>
        </w:tc>
      </w:tr>
      <w:tr>
        <w:tc>
          <w:tcPr>
            <w:tcW w:type="dxa" w:w="5112"/>
            <w:vAlign w:val="center"/>
          </w:tcPr>
          <w:p>
            <w:r>
              <w:rPr>
                <w:sz w:val="17"/>
              </w:rPr>
              <w:t>AI answers questions</w:t>
            </w:r>
          </w:p>
        </w:tc>
        <w:tc>
          <w:tcPr>
            <w:tcW w:type="dxa" w:w="5112"/>
            <w:vAlign w:val="center"/>
          </w:tcPr>
          <w:p>
            <w:r>
              <w:rPr>
                <w:sz w:val="17"/>
              </w:rPr>
              <w:t>AI interprets, plans and follows up within governed boundaries</w:t>
            </w:r>
          </w:p>
        </w:tc>
      </w:tr>
      <w:tr>
        <w:tc>
          <w:tcPr>
            <w:tcW w:type="dxa" w:w="5112"/>
            <w:vAlign w:val="center"/>
          </w:tcPr>
          <w:p>
            <w:r>
              <w:rPr>
                <w:sz w:val="17"/>
              </w:rPr>
              <w:t>Module-specific workflows</w:t>
            </w:r>
          </w:p>
        </w:tc>
        <w:tc>
          <w:tcPr>
            <w:tcW w:type="dxa" w:w="5112"/>
            <w:vAlign w:val="center"/>
          </w:tcPr>
          <w:p>
            <w:r>
              <w:rPr>
                <w:sz w:val="17"/>
              </w:rPr>
              <w:t>Reusable enterprise workflow/orchestration engine</w:t>
            </w:r>
          </w:p>
        </w:tc>
      </w:tr>
      <w:tr>
        <w:tc>
          <w:tcPr>
            <w:tcW w:type="dxa" w:w="5112"/>
            <w:vAlign w:val="center"/>
          </w:tcPr>
          <w:p>
            <w:r>
              <w:rPr>
                <w:sz w:val="17"/>
              </w:rPr>
              <w:t>Closure = status changed</w:t>
            </w:r>
          </w:p>
        </w:tc>
        <w:tc>
          <w:tcPr>
            <w:tcW w:type="dxa" w:w="5112"/>
            <w:vAlign w:val="center"/>
          </w:tcPr>
          <w:p>
            <w:r>
              <w:rPr>
                <w:sz w:val="17"/>
              </w:rPr>
              <w:t>Closure = outcome/evidence verified</w:t>
            </w:r>
          </w:p>
        </w:tc>
      </w:tr>
    </w:tbl>
    <w:p/>
    <w:p>
      <w:pPr>
        <w:pStyle w:val="Heading1"/>
      </w:pPr>
      <w:r>
        <w:t>2. Product Scope</w:t>
      </w:r>
    </w:p>
    <w:p>
      <w:pPr>
        <w:pStyle w:val="ListBullet"/>
        <w:spacing w:after="40"/>
      </w:pPr>
      <w:r>
        <w:t>Organization &amp; Governance</w:t>
      </w:r>
    </w:p>
    <w:p>
      <w:pPr>
        <w:pStyle w:val="ListBullet"/>
        <w:spacing w:after="40"/>
      </w:pPr>
      <w:r>
        <w:t>People / Employee Context</w:t>
      </w:r>
    </w:p>
    <w:p>
      <w:pPr>
        <w:pStyle w:val="ListBullet"/>
        <w:spacing w:after="40"/>
      </w:pPr>
      <w:r>
        <w:t>Location &amp; Workplace</w:t>
      </w:r>
    </w:p>
    <w:p>
      <w:pPr>
        <w:pStyle w:val="ListBullet"/>
        <w:spacing w:after="40"/>
      </w:pPr>
      <w:r>
        <w:t>Facilities &amp; Maintenance</w:t>
      </w:r>
    </w:p>
    <w:p>
      <w:pPr>
        <w:pStyle w:val="ListBullet"/>
        <w:spacing w:after="40"/>
      </w:pPr>
      <w:r>
        <w:t>Asset &amp; AMC Management</w:t>
      </w:r>
    </w:p>
    <w:p>
      <w:pPr>
        <w:pStyle w:val="ListBullet"/>
        <w:spacing w:after="40"/>
      </w:pPr>
      <w:r>
        <w:t>Housekeeping</w:t>
      </w:r>
    </w:p>
    <w:p>
      <w:pPr>
        <w:pStyle w:val="ListBullet"/>
        <w:spacing w:after="40"/>
      </w:pPr>
      <w:r>
        <w:t>Meeting Rooms &amp; Events</w:t>
      </w:r>
    </w:p>
    <w:p>
      <w:pPr>
        <w:pStyle w:val="ListBullet"/>
        <w:spacing w:after="40"/>
      </w:pPr>
      <w:r>
        <w:t>Visitor &amp; Security Operations</w:t>
      </w:r>
    </w:p>
    <w:p>
      <w:pPr>
        <w:pStyle w:val="ListBullet"/>
        <w:spacing w:after="40"/>
      </w:pPr>
      <w:r>
        <w:t>Transport</w:t>
      </w:r>
    </w:p>
    <w:p>
      <w:pPr>
        <w:pStyle w:val="ListBullet"/>
        <w:spacing w:after="40"/>
      </w:pPr>
      <w:r>
        <w:t>Travel &amp; Stay</w:t>
      </w:r>
    </w:p>
    <w:p>
      <w:pPr>
        <w:pStyle w:val="ListBullet"/>
        <w:spacing w:after="40"/>
      </w:pPr>
      <w:r>
        <w:t>Supplies &amp; Inventory</w:t>
      </w:r>
    </w:p>
    <w:p>
      <w:pPr>
        <w:pStyle w:val="ListBullet"/>
        <w:spacing w:after="40"/>
      </w:pPr>
      <w:r>
        <w:t>Procurement</w:t>
      </w:r>
    </w:p>
    <w:p>
      <w:pPr>
        <w:pStyle w:val="ListBullet"/>
        <w:spacing w:after="40"/>
      </w:pPr>
      <w:r>
        <w:t>Email-Native Procurement</w:t>
      </w:r>
    </w:p>
    <w:p>
      <w:pPr>
        <w:pStyle w:val="ListBullet"/>
        <w:spacing w:after="40"/>
      </w:pPr>
      <w:r>
        <w:t>Vendor &amp; Contract Management</w:t>
      </w:r>
    </w:p>
    <w:p>
      <w:pPr>
        <w:pStyle w:val="ListBullet"/>
        <w:spacing w:after="40"/>
      </w:pPr>
      <w:r>
        <w:t>Lease &amp; Rental Management</w:t>
      </w:r>
    </w:p>
    <w:p>
      <w:pPr>
        <w:pStyle w:val="ListBullet"/>
        <w:spacing w:after="40"/>
      </w:pPr>
      <w:r>
        <w:t>Compliance / Fire / Safety</w:t>
      </w:r>
    </w:p>
    <w:p>
      <w:pPr>
        <w:pStyle w:val="ListBullet"/>
        <w:spacing w:after="40"/>
      </w:pPr>
      <w:r>
        <w:t>Utilities &amp; Energy</w:t>
      </w:r>
    </w:p>
    <w:p>
      <w:pPr>
        <w:pStyle w:val="ListBullet"/>
        <w:spacing w:after="40"/>
      </w:pPr>
      <w:r>
        <w:t>Onboarding / Offboarding</w:t>
      </w:r>
    </w:p>
    <w:p>
      <w:pPr>
        <w:pStyle w:val="ListBullet"/>
        <w:spacing w:after="40"/>
      </w:pPr>
      <w:r>
        <w:t>Budget / Cost Centre / Spend</w:t>
      </w:r>
    </w:p>
    <w:p>
      <w:pPr>
        <w:pStyle w:val="ListBullet"/>
        <w:spacing w:after="40"/>
      </w:pPr>
      <w:r>
        <w:t>Invoice &amp; Financial Controls</w:t>
      </w:r>
    </w:p>
    <w:p>
      <w:pPr>
        <w:pStyle w:val="ListBullet"/>
        <w:spacing w:after="40"/>
      </w:pPr>
      <w:r>
        <w:t>Employee Helpdesk / Knowledge</w:t>
      </w:r>
    </w:p>
    <w:p>
      <w:pPr>
        <w:pStyle w:val="ListBullet"/>
        <w:spacing w:after="40"/>
      </w:pPr>
      <w:r>
        <w:t>Analytics / Benchmarking</w:t>
      </w:r>
    </w:p>
    <w:p>
      <w:pPr>
        <w:pStyle w:val="ListBullet"/>
        <w:spacing w:after="40"/>
      </w:pPr>
      <w:r>
        <w:t>AI Intelligence</w:t>
      </w:r>
    </w:p>
    <w:p>
      <w:pPr>
        <w:pStyle w:val="Heading2"/>
      </w:pPr>
      <w:r>
        <w:t>Channels</w:t>
      </w:r>
    </w:p>
    <w:p>
      <w:pPr>
        <w:pStyle w:val="ListBullet"/>
        <w:spacing w:after="40"/>
      </w:pPr>
      <w:r>
        <w:t>Web</w:t>
      </w:r>
    </w:p>
    <w:p>
      <w:pPr>
        <w:pStyle w:val="ListBullet"/>
        <w:spacing w:after="40"/>
      </w:pPr>
      <w:r>
        <w:t>Mobile-responsive employee experience</w:t>
      </w:r>
    </w:p>
    <w:p>
      <w:pPr>
        <w:pStyle w:val="ListBullet"/>
        <w:spacing w:after="40"/>
      </w:pPr>
      <w:r>
        <w:t>WhatsApp</w:t>
      </w:r>
    </w:p>
    <w:p>
      <w:pPr>
        <w:pStyle w:val="ListBullet"/>
        <w:spacing w:after="40"/>
      </w:pPr>
      <w:r>
        <w:t>Microsoft Teams</w:t>
      </w:r>
    </w:p>
    <w:p>
      <w:pPr>
        <w:pStyle w:val="ListBullet"/>
        <w:spacing w:after="40"/>
      </w:pPr>
      <w:r>
        <w:t>Email</w:t>
      </w:r>
    </w:p>
    <w:p>
      <w:pPr>
        <w:pStyle w:val="ListBullet"/>
        <w:spacing w:after="40"/>
      </w:pPr>
      <w:r>
        <w:t>QR / NFC</w:t>
      </w:r>
    </w:p>
    <w:p>
      <w:pPr>
        <w:pStyle w:val="ListBullet"/>
        <w:spacing w:after="40"/>
      </w:pPr>
      <w:r>
        <w:t>Field-worker mobile page</w:t>
      </w:r>
    </w:p>
    <w:p>
      <w:pPr>
        <w:pStyle w:val="Heading1"/>
      </w:pPr>
      <w:r>
        <w:t>3. Orchestra Concept — Central Architecture</w:t>
      </w:r>
    </w:p>
    <w:p>
      <w:r>
        <w:t>The Orchestra sits above functional modules. Modules provide capabilities; the Orchestra converts objectives/events into coordinated, measurable work.</w:t>
      </w:r>
    </w:p>
    <w:p>
      <w:pPr/>
      <w:r>
        <w:rPr>
          <w:rFonts w:ascii="Consolas" w:hAnsi="Consolas"/>
          <w:sz w:val="17"/>
        </w:rPr>
        <w:t>INTAKE / EVENT</w:t>
        <w:br/>
        <w:t>↓</w:t>
        <w:br/>
        <w:t>OBJECTIVE &amp; INTENT</w:t>
        <w:br/>
        <w:t>↓</w:t>
        <w:br/>
        <w:t>CONTEXT: WHO / WHERE / WHAT / POLICY / HISTORY / BUDGET</w:t>
        <w:br/>
        <w:t>↓</w:t>
        <w:br/>
        <w:t>AI ANALYSIS &amp; PLAN PROPOSAL</w:t>
        <w:br/>
        <w:t>↓</w:t>
        <w:br/>
        <w:t>POLICY + AUTHORITY + SECURITY GUARDS</w:t>
        <w:br/>
        <w:t>↓</w:t>
        <w:br/>
        <w:t>WORKFLOW / ORCHESTRATOR</w:t>
        <w:br/>
        <w:t>↓</w:t>
        <w:br/>
        <w:t>PEOPLE ↔ MODULES ↔ VENDORS ↔ EXTERNAL SYSTEMS</w:t>
        <w:br/>
        <w:t>↓</w:t>
        <w:br/>
        <w:t>SLA / FOLLOW-UP / ESCALATION</w:t>
        <w:br/>
        <w:t>↓</w:t>
        <w:br/>
        <w:t>EVIDENCE</w:t>
        <w:br/>
        <w:t>↓</w:t>
        <w:br/>
        <w:t>OUTCOME VALIDATION</w:t>
        <w:br/>
        <w:t>↓</w:t>
        <w:br/>
        <w:t>CLOSURE + AUDIT + ANALYTICS + LEARNING</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Engine</w:t>
            </w:r>
          </w:p>
        </w:tc>
        <w:tc>
          <w:tcPr>
            <w:tcW w:type="dxa" w:w="5112"/>
            <w:shd w:fill="D9EAF7"/>
          </w:tcPr>
          <w:p>
            <w:r>
              <w:rPr>
                <w:b/>
                <w:sz w:val="17"/>
              </w:rPr>
              <w:t>Responsibility</w:t>
            </w:r>
          </w:p>
        </w:tc>
      </w:tr>
      <w:tr>
        <w:tc>
          <w:tcPr>
            <w:tcW w:type="dxa" w:w="5112"/>
            <w:vAlign w:val="center"/>
          </w:tcPr>
          <w:p>
            <w:r>
              <w:rPr>
                <w:sz w:val="17"/>
              </w:rPr>
              <w:t>Event Engine</w:t>
            </w:r>
          </w:p>
        </w:tc>
        <w:tc>
          <w:tcPr>
            <w:tcW w:type="dxa" w:w="5112"/>
            <w:vAlign w:val="center"/>
          </w:tcPr>
          <w:p>
            <w:r>
              <w:rPr>
                <w:sz w:val="17"/>
              </w:rPr>
              <w:t>Receives business events and starts or modifies orchestration.</w:t>
            </w:r>
          </w:p>
        </w:tc>
      </w:tr>
      <w:tr>
        <w:tc>
          <w:tcPr>
            <w:tcW w:type="dxa" w:w="5112"/>
            <w:vAlign w:val="center"/>
          </w:tcPr>
          <w:p>
            <w:r>
              <w:rPr>
                <w:sz w:val="17"/>
              </w:rPr>
              <w:t>Objective Engine</w:t>
            </w:r>
          </w:p>
        </w:tc>
        <w:tc>
          <w:tcPr>
            <w:tcW w:type="dxa" w:w="5112"/>
            <w:vAlign w:val="center"/>
          </w:tcPr>
          <w:p>
            <w:r>
              <w:rPr>
                <w:sz w:val="17"/>
              </w:rPr>
              <w:t>Converts requests/events into a measurable business objective.</w:t>
            </w:r>
          </w:p>
        </w:tc>
      </w:tr>
      <w:tr>
        <w:tc>
          <w:tcPr>
            <w:tcW w:type="dxa" w:w="5112"/>
            <w:vAlign w:val="center"/>
          </w:tcPr>
          <w:p>
            <w:r>
              <w:rPr>
                <w:sz w:val="17"/>
              </w:rPr>
              <w:t>Context Engine</w:t>
            </w:r>
          </w:p>
        </w:tc>
        <w:tc>
          <w:tcPr>
            <w:tcW w:type="dxa" w:w="5112"/>
            <w:vAlign w:val="center"/>
          </w:tcPr>
          <w:p>
            <w:r>
              <w:rPr>
                <w:sz w:val="17"/>
              </w:rPr>
              <w:t>Builds person, location, policy, asset, vendor, budget and history context.</w:t>
            </w:r>
          </w:p>
        </w:tc>
      </w:tr>
      <w:tr>
        <w:tc>
          <w:tcPr>
            <w:tcW w:type="dxa" w:w="5112"/>
            <w:vAlign w:val="center"/>
          </w:tcPr>
          <w:p>
            <w:r>
              <w:rPr>
                <w:sz w:val="17"/>
              </w:rPr>
              <w:t>AI Planner</w:t>
            </w:r>
          </w:p>
        </w:tc>
        <w:tc>
          <w:tcPr>
            <w:tcW w:type="dxa" w:w="5112"/>
            <w:vAlign w:val="center"/>
          </w:tcPr>
          <w:p>
            <w:r>
              <w:rPr>
                <w:sz w:val="17"/>
              </w:rPr>
              <w:t>Interprets intent, proposes plans and identifies dependencies; cannot bypass controls.</w:t>
            </w:r>
          </w:p>
        </w:tc>
      </w:tr>
      <w:tr>
        <w:tc>
          <w:tcPr>
            <w:tcW w:type="dxa" w:w="5112"/>
            <w:vAlign w:val="center"/>
          </w:tcPr>
          <w:p>
            <w:r>
              <w:rPr>
                <w:sz w:val="17"/>
              </w:rPr>
              <w:t>Policy Engine</w:t>
            </w:r>
          </w:p>
        </w:tc>
        <w:tc>
          <w:tcPr>
            <w:tcW w:type="dxa" w:w="5112"/>
            <w:vAlign w:val="center"/>
          </w:tcPr>
          <w:p>
            <w:r>
              <w:rPr>
                <w:sz w:val="17"/>
              </w:rPr>
              <w:t>Applies entitlements, limits, rules and exceptions.</w:t>
            </w:r>
          </w:p>
        </w:tc>
      </w:tr>
      <w:tr>
        <w:tc>
          <w:tcPr>
            <w:tcW w:type="dxa" w:w="5112"/>
            <w:vAlign w:val="center"/>
          </w:tcPr>
          <w:p>
            <w:r>
              <w:rPr>
                <w:sz w:val="17"/>
              </w:rPr>
              <w:t>Authority Engine</w:t>
            </w:r>
          </w:p>
        </w:tc>
        <w:tc>
          <w:tcPr>
            <w:tcW w:type="dxa" w:w="5112"/>
            <w:vAlign w:val="center"/>
          </w:tcPr>
          <w:p>
            <w:r>
              <w:rPr>
                <w:sz w:val="17"/>
              </w:rPr>
              <w:t>Determines approver, delegation and escalation path.</w:t>
            </w:r>
          </w:p>
        </w:tc>
      </w:tr>
      <w:tr>
        <w:tc>
          <w:tcPr>
            <w:tcW w:type="dxa" w:w="5112"/>
            <w:vAlign w:val="center"/>
          </w:tcPr>
          <w:p>
            <w:r>
              <w:rPr>
                <w:sz w:val="17"/>
              </w:rPr>
              <w:t>Workflow Orchestrator</w:t>
            </w:r>
          </w:p>
        </w:tc>
        <w:tc>
          <w:tcPr>
            <w:tcW w:type="dxa" w:w="5112"/>
            <w:vAlign w:val="center"/>
          </w:tcPr>
          <w:p>
            <w:r>
              <w:rPr>
                <w:sz w:val="17"/>
              </w:rPr>
              <w:t>Coordinates tasks, dependencies, states and transactions.</w:t>
            </w:r>
          </w:p>
        </w:tc>
      </w:tr>
      <w:tr>
        <w:tc>
          <w:tcPr>
            <w:tcW w:type="dxa" w:w="5112"/>
            <w:vAlign w:val="center"/>
          </w:tcPr>
          <w:p>
            <w:r>
              <w:rPr>
                <w:sz w:val="17"/>
              </w:rPr>
              <w:t>SLA Engine</w:t>
            </w:r>
          </w:p>
        </w:tc>
        <w:tc>
          <w:tcPr>
            <w:tcW w:type="dxa" w:w="5112"/>
            <w:vAlign w:val="center"/>
          </w:tcPr>
          <w:p>
            <w:r>
              <w:rPr>
                <w:sz w:val="17"/>
              </w:rPr>
              <w:t>Tracks response, resolution and approval deadlines.</w:t>
            </w:r>
          </w:p>
        </w:tc>
      </w:tr>
      <w:tr>
        <w:tc>
          <w:tcPr>
            <w:tcW w:type="dxa" w:w="5112"/>
            <w:vAlign w:val="center"/>
          </w:tcPr>
          <w:p>
            <w:r>
              <w:rPr>
                <w:sz w:val="17"/>
              </w:rPr>
              <w:t>Evidence Engine</w:t>
            </w:r>
          </w:p>
        </w:tc>
        <w:tc>
          <w:tcPr>
            <w:tcW w:type="dxa" w:w="5112"/>
            <w:vAlign w:val="center"/>
          </w:tcPr>
          <w:p>
            <w:r>
              <w:rPr>
                <w:sz w:val="17"/>
              </w:rPr>
              <w:t>Collects photos, signatures, timestamps, GPS, documents and confirmations.</w:t>
            </w:r>
          </w:p>
        </w:tc>
      </w:tr>
      <w:tr>
        <w:tc>
          <w:tcPr>
            <w:tcW w:type="dxa" w:w="5112"/>
            <w:vAlign w:val="center"/>
          </w:tcPr>
          <w:p>
            <w:r>
              <w:rPr>
                <w:sz w:val="17"/>
              </w:rPr>
              <w:t>Outcome Engine</w:t>
            </w:r>
          </w:p>
        </w:tc>
        <w:tc>
          <w:tcPr>
            <w:tcW w:type="dxa" w:w="5112"/>
            <w:vAlign w:val="center"/>
          </w:tcPr>
          <w:p>
            <w:r>
              <w:rPr>
                <w:sz w:val="17"/>
              </w:rPr>
              <w:t>Checks whether the business objective was actually achieved.</w:t>
            </w:r>
          </w:p>
        </w:tc>
      </w:tr>
      <w:tr>
        <w:tc>
          <w:tcPr>
            <w:tcW w:type="dxa" w:w="5112"/>
            <w:vAlign w:val="center"/>
          </w:tcPr>
          <w:p>
            <w:r>
              <w:rPr>
                <w:sz w:val="17"/>
              </w:rPr>
              <w:t>Notification Engine</w:t>
            </w:r>
          </w:p>
        </w:tc>
        <w:tc>
          <w:tcPr>
            <w:tcW w:type="dxa" w:w="5112"/>
            <w:vAlign w:val="center"/>
          </w:tcPr>
          <w:p>
            <w:r>
              <w:rPr>
                <w:sz w:val="17"/>
              </w:rPr>
              <w:t>Routes relevant updates through the right channel.</w:t>
            </w:r>
          </w:p>
        </w:tc>
      </w:tr>
      <w:tr>
        <w:tc>
          <w:tcPr>
            <w:tcW w:type="dxa" w:w="5112"/>
            <w:vAlign w:val="center"/>
          </w:tcPr>
          <w:p>
            <w:r>
              <w:rPr>
                <w:sz w:val="17"/>
              </w:rPr>
              <w:t>Audit Engine</w:t>
            </w:r>
          </w:p>
        </w:tc>
        <w:tc>
          <w:tcPr>
            <w:tcW w:type="dxa" w:w="5112"/>
            <w:vAlign w:val="center"/>
          </w:tcPr>
          <w:p>
            <w:r>
              <w:rPr>
                <w:sz w:val="17"/>
              </w:rPr>
              <w:t>Records decisions, changes, approvals, actions and system events.</w:t>
            </w:r>
          </w:p>
        </w:tc>
      </w:tr>
      <w:tr>
        <w:tc>
          <w:tcPr>
            <w:tcW w:type="dxa" w:w="5112"/>
            <w:vAlign w:val="center"/>
          </w:tcPr>
          <w:p>
            <w:r>
              <w:rPr>
                <w:sz w:val="17"/>
              </w:rPr>
              <w:t>Learning Engine</w:t>
            </w:r>
          </w:p>
        </w:tc>
        <w:tc>
          <w:tcPr>
            <w:tcW w:type="dxa" w:w="5112"/>
            <w:vAlign w:val="center"/>
          </w:tcPr>
          <w:p>
            <w:r>
              <w:rPr>
                <w:sz w:val="17"/>
              </w:rPr>
              <w:t>Detects patterns and proposes improvements under human governance.</w:t>
            </w:r>
          </w:p>
        </w:tc>
      </w:tr>
    </w:tbl>
    <w:p/>
    <w:p>
      <w:r>
        <w:rPr>
          <w:b/>
        </w:rPr>
        <w:t>If the objective is not achieved, the AI/orchestrator is not finished.</w:t>
      </w:r>
    </w:p>
    <w:p>
      <w:pPr>
        <w:pStyle w:val="Heading1"/>
      </w:pPr>
      <w:r>
        <w:t>4. Enterprise Data Foundation</w:t>
      </w:r>
    </w:p>
    <w:p>
      <w:r>
        <w:t>Master data is operational context, not merely reference data.</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Master</w:t>
            </w:r>
          </w:p>
        </w:tc>
        <w:tc>
          <w:tcPr>
            <w:tcW w:type="dxa" w:w="5112"/>
            <w:shd w:fill="D9EAF7"/>
          </w:tcPr>
          <w:p>
            <w:r>
              <w:rPr>
                <w:b/>
                <w:sz w:val="17"/>
              </w:rPr>
              <w:t>Minimum scope</w:t>
            </w:r>
          </w:p>
        </w:tc>
      </w:tr>
      <w:tr>
        <w:tc>
          <w:tcPr>
            <w:tcW w:type="dxa" w:w="5112"/>
            <w:vAlign w:val="center"/>
          </w:tcPr>
          <w:p>
            <w:r>
              <w:rPr>
                <w:sz w:val="17"/>
              </w:rPr>
              <w:t>People</w:t>
            </w:r>
          </w:p>
        </w:tc>
        <w:tc>
          <w:tcPr>
            <w:tcW w:type="dxa" w:w="5112"/>
            <w:vAlign w:val="center"/>
          </w:tcPr>
          <w:p>
            <w:r>
              <w:rPr>
                <w:sz w:val="17"/>
              </w:rPr>
              <w:t>Employee ID, name, contact, designation, grade, department, manager, branch, cost centre, joining/exit dates, seat and entitlements.</w:t>
            </w:r>
          </w:p>
        </w:tc>
      </w:tr>
      <w:tr>
        <w:tc>
          <w:tcPr>
            <w:tcW w:type="dxa" w:w="5112"/>
            <w:vAlign w:val="center"/>
          </w:tcPr>
          <w:p>
            <w:r>
              <w:rPr>
                <w:sz w:val="17"/>
              </w:rPr>
              <w:t>Organization</w:t>
            </w:r>
          </w:p>
        </w:tc>
        <w:tc>
          <w:tcPr>
            <w:tcW w:type="dxa" w:w="5112"/>
            <w:vAlign w:val="center"/>
          </w:tcPr>
          <w:p>
            <w:r>
              <w:rPr>
                <w:sz w:val="17"/>
              </w:rPr>
              <w:t>Company, business unit, department, region, zone, branch, reporting hierarchy and roles.</w:t>
            </w:r>
          </w:p>
        </w:tc>
      </w:tr>
      <w:tr>
        <w:tc>
          <w:tcPr>
            <w:tcW w:type="dxa" w:w="5112"/>
            <w:vAlign w:val="center"/>
          </w:tcPr>
          <w:p>
            <w:r>
              <w:rPr>
                <w:sz w:val="17"/>
              </w:rPr>
              <w:t>Places</w:t>
            </w:r>
          </w:p>
        </w:tc>
        <w:tc>
          <w:tcPr>
            <w:tcW w:type="dxa" w:w="5112"/>
            <w:vAlign w:val="center"/>
          </w:tcPr>
          <w:p>
            <w:r>
              <w:rPr>
                <w:sz w:val="17"/>
              </w:rPr>
              <w:t>Building, floor, zone, room, desk, parking, guest house, capacity, facilities and hours.</w:t>
            </w:r>
          </w:p>
        </w:tc>
      </w:tr>
      <w:tr>
        <w:tc>
          <w:tcPr>
            <w:tcW w:type="dxa" w:w="5112"/>
            <w:vAlign w:val="center"/>
          </w:tcPr>
          <w:p>
            <w:r>
              <w:rPr>
                <w:sz w:val="17"/>
              </w:rPr>
              <w:t>Assets</w:t>
            </w:r>
          </w:p>
        </w:tc>
        <w:tc>
          <w:tcPr>
            <w:tcW w:type="dxa" w:w="5112"/>
            <w:vAlign w:val="center"/>
          </w:tcPr>
          <w:p>
            <w:r>
              <w:rPr>
                <w:sz w:val="17"/>
              </w:rPr>
              <w:t>Identity, QR/NFC, type, manufacturer, model, serial, location, custodian, warranty, AMC, criticality, status, health.</w:t>
            </w:r>
          </w:p>
        </w:tc>
      </w:tr>
      <w:tr>
        <w:tc>
          <w:tcPr>
            <w:tcW w:type="dxa" w:w="5112"/>
            <w:vAlign w:val="center"/>
          </w:tcPr>
          <w:p>
            <w:r>
              <w:rPr>
                <w:sz w:val="17"/>
              </w:rPr>
              <w:t>Vendors</w:t>
            </w:r>
          </w:p>
        </w:tc>
        <w:tc>
          <w:tcPr>
            <w:tcW w:type="dxa" w:w="5112"/>
            <w:vAlign w:val="center"/>
          </w:tcPr>
          <w:p>
            <w:r>
              <w:rPr>
                <w:sz w:val="17"/>
              </w:rPr>
              <w:t>Services, locations, contracts, rates, SLA, licences, compliance documents and performance.</w:t>
            </w:r>
          </w:p>
        </w:tc>
      </w:tr>
      <w:tr>
        <w:tc>
          <w:tcPr>
            <w:tcW w:type="dxa" w:w="5112"/>
            <w:vAlign w:val="center"/>
          </w:tcPr>
          <w:p>
            <w:r>
              <w:rPr>
                <w:sz w:val="17"/>
              </w:rPr>
              <w:t>Services</w:t>
            </w:r>
          </w:p>
        </w:tc>
        <w:tc>
          <w:tcPr>
            <w:tcW w:type="dxa" w:w="5112"/>
            <w:vAlign w:val="center"/>
          </w:tcPr>
          <w:p>
            <w:r>
              <w:rPr>
                <w:sz w:val="17"/>
              </w:rPr>
              <w:t>Service catalogue, SLA, priority, coverage, approved vendors and pricing.</w:t>
            </w:r>
          </w:p>
        </w:tc>
      </w:tr>
      <w:tr>
        <w:tc>
          <w:tcPr>
            <w:tcW w:type="dxa" w:w="5112"/>
            <w:vAlign w:val="center"/>
          </w:tcPr>
          <w:p>
            <w:r>
              <w:rPr>
                <w:sz w:val="17"/>
              </w:rPr>
              <w:t>Supplies</w:t>
            </w:r>
          </w:p>
        </w:tc>
        <w:tc>
          <w:tcPr>
            <w:tcW w:type="dxa" w:w="5112"/>
            <w:vAlign w:val="center"/>
          </w:tcPr>
          <w:p>
            <w:r>
              <w:rPr>
                <w:sz w:val="17"/>
              </w:rPr>
              <w:t>Item/SKU, unit, stock, min/max, reorder point, approved vendor, rate and entitlement.</w:t>
            </w:r>
          </w:p>
        </w:tc>
      </w:tr>
      <w:tr>
        <w:tc>
          <w:tcPr>
            <w:tcW w:type="dxa" w:w="5112"/>
            <w:vAlign w:val="center"/>
          </w:tcPr>
          <w:p>
            <w:r>
              <w:rPr>
                <w:sz w:val="17"/>
              </w:rPr>
              <w:t>Policies</w:t>
            </w:r>
          </w:p>
        </w:tc>
        <w:tc>
          <w:tcPr>
            <w:tcW w:type="dxa" w:w="5112"/>
            <w:vAlign w:val="center"/>
          </w:tcPr>
          <w:p>
            <w:r>
              <w:rPr>
                <w:sz w:val="17"/>
              </w:rPr>
              <w:t>Entitlements, limits, approvals, travel, catering, access, hours, holidays and exceptions.</w:t>
            </w:r>
          </w:p>
        </w:tc>
      </w:tr>
      <w:tr>
        <w:tc>
          <w:tcPr>
            <w:tcW w:type="dxa" w:w="5112"/>
            <w:vAlign w:val="center"/>
          </w:tcPr>
          <w:p>
            <w:r>
              <w:rPr>
                <w:sz w:val="17"/>
              </w:rPr>
              <w:t>Finance</w:t>
            </w:r>
          </w:p>
        </w:tc>
        <w:tc>
          <w:tcPr>
            <w:tcW w:type="dxa" w:w="5112"/>
            <w:vAlign w:val="center"/>
          </w:tcPr>
          <w:p>
            <w:r>
              <w:rPr>
                <w:sz w:val="17"/>
              </w:rPr>
              <w:t>Budgets, cost centres, commitments, actuals and spend transactions.</w:t>
            </w:r>
          </w:p>
        </w:tc>
      </w:tr>
      <w:tr>
        <w:tc>
          <w:tcPr>
            <w:tcW w:type="dxa" w:w="5112"/>
            <w:vAlign w:val="center"/>
          </w:tcPr>
          <w:p>
            <w:r>
              <w:rPr>
                <w:sz w:val="17"/>
              </w:rPr>
              <w:t>History</w:t>
            </w:r>
          </w:p>
        </w:tc>
        <w:tc>
          <w:tcPr>
            <w:tcW w:type="dxa" w:w="5112"/>
            <w:vAlign w:val="center"/>
          </w:tcPr>
          <w:p>
            <w:r>
              <w:rPr>
                <w:sz w:val="17"/>
              </w:rPr>
              <w:t>Requests, approvals, deliveries, complaints, corrections, incidents, evidence and outcomes.</w:t>
            </w:r>
          </w:p>
        </w:tc>
      </w:tr>
    </w:tbl>
    <w:p/>
    <w:p>
      <w:pPr>
        <w:pStyle w:val="Heading1"/>
      </w:pPr>
      <w:r>
        <w:t>5. Organization, Roles &amp; Universal Approval Authority</w:t>
      </w:r>
    </w:p>
    <w:p>
      <w:r>
        <w:t>Use one reusable authority model for HR, Admin, Procurement, Finance, Marketing, Sales, IT, Security, Facilities and other functions.</w:t>
      </w:r>
    </w:p>
    <w:p>
      <w:pPr>
        <w:pStyle w:val="ListBullet"/>
        <w:spacing w:after="40"/>
      </w:pPr>
      <w:r>
        <w:t>Company / tenant</w:t>
      </w:r>
    </w:p>
    <w:p>
      <w:pPr>
        <w:pStyle w:val="ListBullet"/>
        <w:spacing w:after="40"/>
      </w:pPr>
      <w:r>
        <w:t>Business unit / department</w:t>
      </w:r>
    </w:p>
    <w:p>
      <w:pPr>
        <w:pStyle w:val="ListBullet"/>
        <w:spacing w:after="40"/>
      </w:pPr>
      <w:r>
        <w:t>Branch / location</w:t>
      </w:r>
    </w:p>
    <w:p>
      <w:pPr>
        <w:pStyle w:val="ListBullet"/>
        <w:spacing w:after="40"/>
      </w:pPr>
      <w:r>
        <w:t>Cost centre</w:t>
      </w:r>
    </w:p>
    <w:p>
      <w:pPr>
        <w:pStyle w:val="ListBullet"/>
        <w:spacing w:after="40"/>
      </w:pPr>
      <w:r>
        <w:t>Request type</w:t>
      </w:r>
    </w:p>
    <w:p>
      <w:pPr>
        <w:pStyle w:val="ListBullet"/>
        <w:spacing w:after="40"/>
      </w:pPr>
      <w:r>
        <w:t>Amount threshold</w:t>
      </w:r>
    </w:p>
    <w:p>
      <w:pPr>
        <w:pStyle w:val="ListBullet"/>
        <w:spacing w:after="40"/>
      </w:pPr>
      <w:r>
        <w:t>Employee grade</w:t>
      </w:r>
    </w:p>
    <w:p>
      <w:pPr>
        <w:pStyle w:val="ListBullet"/>
        <w:spacing w:after="40"/>
      </w:pPr>
      <w:r>
        <w:t>Risk / criticality</w:t>
      </w:r>
    </w:p>
    <w:p>
      <w:pPr>
        <w:pStyle w:val="ListBullet"/>
        <w:spacing w:after="40"/>
      </w:pPr>
      <w:r>
        <w:t>Budget availability</w:t>
      </w:r>
    </w:p>
    <w:p>
      <w:pPr>
        <w:pStyle w:val="ListBullet"/>
        <w:spacing w:after="40"/>
      </w:pPr>
      <w:r>
        <w:t>Vendor / contract</w:t>
      </w:r>
    </w:p>
    <w:p>
      <w:pPr>
        <w:pStyle w:val="ListBullet"/>
        <w:spacing w:after="40"/>
      </w:pPr>
      <w:r>
        <w:t>Exception status</w:t>
      </w:r>
    </w:p>
    <w:p>
      <w:pPr>
        <w:pStyle w:val="ListBullet"/>
        <w:spacing w:after="40"/>
      </w:pPr>
      <w:r>
        <w:t>Delegation status</w:t>
      </w:r>
    </w:p>
    <w:p>
      <w:r>
        <w:t>Approval lifecycle: Request → Policy evaluation → Authority determination → Sequential/parallel approvals → SLA → Escalation → Decision → Audit → Execution.</w:t>
      </w:r>
    </w:p>
    <w:p>
      <w:pPr>
        <w:pStyle w:val="Heading1"/>
      </w:pPr>
      <w:r>
        <w:t>6. Universal Workflow Engine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Capability</w:t>
            </w:r>
          </w:p>
        </w:tc>
        <w:tc>
          <w:tcPr>
            <w:tcW w:type="dxa" w:w="5112"/>
            <w:shd w:fill="D9EAF7"/>
          </w:tcPr>
          <w:p>
            <w:r>
              <w:rPr>
                <w:b/>
                <w:sz w:val="17"/>
              </w:rPr>
              <w:t>Requirement</w:t>
            </w:r>
          </w:p>
        </w:tc>
      </w:tr>
      <w:tr>
        <w:tc>
          <w:tcPr>
            <w:tcW w:type="dxa" w:w="5112"/>
            <w:vAlign w:val="center"/>
          </w:tcPr>
          <w:p>
            <w:r>
              <w:rPr>
                <w:sz w:val="17"/>
              </w:rPr>
              <w:t>Triggers</w:t>
            </w:r>
          </w:p>
        </w:tc>
        <w:tc>
          <w:tcPr>
            <w:tcW w:type="dxa" w:w="5112"/>
            <w:vAlign w:val="center"/>
          </w:tcPr>
          <w:p>
            <w:r>
              <w:rPr>
                <w:sz w:val="17"/>
              </w:rPr>
              <w:t>User request, event, schedule, integration event, threshold, expiry or anomaly.</w:t>
            </w:r>
          </w:p>
        </w:tc>
      </w:tr>
      <w:tr>
        <w:tc>
          <w:tcPr>
            <w:tcW w:type="dxa" w:w="5112"/>
            <w:vAlign w:val="center"/>
          </w:tcPr>
          <w:p>
            <w:r>
              <w:rPr>
                <w:sz w:val="17"/>
              </w:rPr>
              <w:t>Conditions</w:t>
            </w:r>
          </w:p>
        </w:tc>
        <w:tc>
          <w:tcPr>
            <w:tcW w:type="dxa" w:w="5112"/>
            <w:vAlign w:val="center"/>
          </w:tcPr>
          <w:p>
            <w:r>
              <w:rPr>
                <w:sz w:val="17"/>
              </w:rPr>
              <w:t>Policy, role, branch, amount, asset criticality, vendor, time, budget and status.</w:t>
            </w:r>
          </w:p>
        </w:tc>
      </w:tr>
      <w:tr>
        <w:tc>
          <w:tcPr>
            <w:tcW w:type="dxa" w:w="5112"/>
            <w:vAlign w:val="center"/>
          </w:tcPr>
          <w:p>
            <w:r>
              <w:rPr>
                <w:sz w:val="17"/>
              </w:rPr>
              <w:t>Tasks</w:t>
            </w:r>
          </w:p>
        </w:tc>
        <w:tc>
          <w:tcPr>
            <w:tcW w:type="dxa" w:w="5112"/>
            <w:vAlign w:val="center"/>
          </w:tcPr>
          <w:p>
            <w:r>
              <w:rPr>
                <w:sz w:val="17"/>
              </w:rPr>
              <w:t>Human, vendor, system, AI-assisted and approval tasks.</w:t>
            </w:r>
          </w:p>
        </w:tc>
      </w:tr>
      <w:tr>
        <w:tc>
          <w:tcPr>
            <w:tcW w:type="dxa" w:w="5112"/>
            <w:vAlign w:val="center"/>
          </w:tcPr>
          <w:p>
            <w:r>
              <w:rPr>
                <w:sz w:val="17"/>
              </w:rPr>
              <w:t>Dependencies</w:t>
            </w:r>
          </w:p>
        </w:tc>
        <w:tc>
          <w:tcPr>
            <w:tcW w:type="dxa" w:w="5112"/>
            <w:vAlign w:val="center"/>
          </w:tcPr>
          <w:p>
            <w:r>
              <w:rPr>
                <w:sz w:val="17"/>
              </w:rPr>
              <w:t>Sequential, parallel, conditional, split/join and wait-for-event.</w:t>
            </w:r>
          </w:p>
        </w:tc>
      </w:tr>
      <w:tr>
        <w:tc>
          <w:tcPr>
            <w:tcW w:type="dxa" w:w="5112"/>
            <w:vAlign w:val="center"/>
          </w:tcPr>
          <w:p>
            <w:r>
              <w:rPr>
                <w:sz w:val="17"/>
              </w:rPr>
              <w:t>Escalation</w:t>
            </w:r>
          </w:p>
        </w:tc>
        <w:tc>
          <w:tcPr>
            <w:tcW w:type="dxa" w:w="5112"/>
            <w:vAlign w:val="center"/>
          </w:tcPr>
          <w:p>
            <w:r>
              <w:rPr>
                <w:sz w:val="17"/>
              </w:rPr>
              <w:t>Time, priority, hierarchy and vendor escalation.</w:t>
            </w:r>
          </w:p>
        </w:tc>
      </w:tr>
      <w:tr>
        <w:tc>
          <w:tcPr>
            <w:tcW w:type="dxa" w:w="5112"/>
            <w:vAlign w:val="center"/>
          </w:tcPr>
          <w:p>
            <w:r>
              <w:rPr>
                <w:sz w:val="17"/>
              </w:rPr>
              <w:t>Evidence</w:t>
            </w:r>
          </w:p>
        </w:tc>
        <w:tc>
          <w:tcPr>
            <w:tcW w:type="dxa" w:w="5112"/>
            <w:vAlign w:val="center"/>
          </w:tcPr>
          <w:p>
            <w:r>
              <w:rPr>
                <w:sz w:val="17"/>
              </w:rPr>
              <w:t>Required evidence by workflow/task type.</w:t>
            </w:r>
          </w:p>
        </w:tc>
      </w:tr>
      <w:tr>
        <w:tc>
          <w:tcPr>
            <w:tcW w:type="dxa" w:w="5112"/>
            <w:vAlign w:val="center"/>
          </w:tcPr>
          <w:p>
            <w:r>
              <w:rPr>
                <w:sz w:val="17"/>
              </w:rPr>
              <w:t>Exceptions</w:t>
            </w:r>
          </w:p>
        </w:tc>
        <w:tc>
          <w:tcPr>
            <w:tcW w:type="dxa" w:w="5112"/>
            <w:vAlign w:val="center"/>
          </w:tcPr>
          <w:p>
            <w:r>
              <w:rPr>
                <w:sz w:val="17"/>
              </w:rPr>
              <w:t>Reject, return, waive, override with authority, pause, cancel and re-open.</w:t>
            </w:r>
          </w:p>
        </w:tc>
      </w:tr>
      <w:tr>
        <w:tc>
          <w:tcPr>
            <w:tcW w:type="dxa" w:w="5112"/>
            <w:vAlign w:val="center"/>
          </w:tcPr>
          <w:p>
            <w:r>
              <w:rPr>
                <w:sz w:val="17"/>
              </w:rPr>
              <w:t>Outcome</w:t>
            </w:r>
          </w:p>
        </w:tc>
        <w:tc>
          <w:tcPr>
            <w:tcW w:type="dxa" w:w="5112"/>
            <w:vAlign w:val="center"/>
          </w:tcPr>
          <w:p>
            <w:r>
              <w:rPr>
                <w:sz w:val="17"/>
              </w:rPr>
              <w:t>Explicit success criteria; status change alone cannot equal closure.</w:t>
            </w:r>
          </w:p>
        </w:tc>
      </w:tr>
      <w:tr>
        <w:tc>
          <w:tcPr>
            <w:tcW w:type="dxa" w:w="5112"/>
            <w:vAlign w:val="center"/>
          </w:tcPr>
          <w:p>
            <w:r>
              <w:rPr>
                <w:sz w:val="17"/>
              </w:rPr>
              <w:t>Versioning</w:t>
            </w:r>
          </w:p>
        </w:tc>
        <w:tc>
          <w:tcPr>
            <w:tcW w:type="dxa" w:w="5112"/>
            <w:vAlign w:val="center"/>
          </w:tcPr>
          <w:p>
            <w:r>
              <w:rPr>
                <w:sz w:val="17"/>
              </w:rPr>
              <w:t>Historical executions preserve the workflow version used.</w:t>
            </w:r>
          </w:p>
        </w:tc>
      </w:tr>
    </w:tbl>
    <w:p/>
    <w:p>
      <w:pPr>
        <w:pStyle w:val="Heading1"/>
      </w:pPr>
      <w:r>
        <w:t>7. Functional Module Requirements</w:t>
      </w:r>
    </w:p>
    <w:p>
      <w:pPr>
        <w:pStyle w:val="Heading2"/>
      </w:pPr>
      <w:r>
        <w:t>7.1 Facilities &amp; Maintenance</w:t>
      </w:r>
    </w:p>
    <w:p>
      <w:pPr>
        <w:pStyle w:val="ListBullet"/>
        <w:spacing w:after="40"/>
      </w:pPr>
      <w:r>
        <w:t>AC, electrical, plumbing, furniture, lifts, DG, pest control, housekeeping, washrooms and water requests.</w:t>
      </w:r>
    </w:p>
    <w:p>
      <w:pPr>
        <w:pStyle w:val="ListBullet"/>
        <w:spacing w:after="40"/>
      </w:pPr>
      <w:r>
        <w:t>Preventive maintenance by asset/service/frequency/runtime.</w:t>
      </w:r>
    </w:p>
    <w:p>
      <w:pPr>
        <w:pStyle w:val="ListBullet"/>
        <w:spacing w:after="40"/>
      </w:pPr>
      <w:r>
        <w:t>Repeat-fault detection and replacement recommendation.</w:t>
      </w:r>
    </w:p>
    <w:p>
      <w:pPr>
        <w:pStyle w:val="ListBullet"/>
        <w:spacing w:after="40"/>
      </w:pPr>
      <w:r>
        <w:t>Daily opening/closing checklists with evidence.</w:t>
      </w:r>
    </w:p>
    <w:p>
      <w:pPr>
        <w:pStyle w:val="ListBullet"/>
        <w:spacing w:after="40"/>
      </w:pPr>
      <w:r>
        <w:t>Work order → assignment → SLA → vendor execution → evidence → outcome.</w:t>
      </w:r>
    </w:p>
    <w:p>
      <w:pPr>
        <w:pStyle w:val="Heading2"/>
      </w:pPr>
      <w:r>
        <w:t>7.2 Asset &amp; AMC Management</w:t>
      </w:r>
    </w:p>
    <w:p>
      <w:pPr>
        <w:pStyle w:val="ListBullet"/>
        <w:spacing w:after="40"/>
      </w:pPr>
      <w:r>
        <w:t>Universal Asset Master across IT, HVAC, UPS, DG, fire, CCTV, electrical, furniture and other assets.</w:t>
      </w:r>
    </w:p>
    <w:p>
      <w:pPr>
        <w:pStyle w:val="ListBullet"/>
        <w:spacing w:after="40"/>
      </w:pPr>
      <w:r>
        <w:t>Lifecycle: procurement → installation → custody → maintenance → warranty/AMC → breakdown → replacement → disposal.</w:t>
      </w:r>
    </w:p>
    <w:p>
      <w:pPr>
        <w:pStyle w:val="ListBullet"/>
        <w:spacing w:after="40"/>
      </w:pPr>
      <w:r>
        <w:t>AMC contract, covered assets, PM schedule, vendor, SLA, visit frequency, value and renewal.</w:t>
      </w:r>
    </w:p>
    <w:p>
      <w:pPr>
        <w:pStyle w:val="ListBullet"/>
        <w:spacing w:after="40"/>
      </w:pPr>
      <w:r>
        <w:t>Asset health score using age, failures, service history and cost.</w:t>
      </w:r>
    </w:p>
    <w:p>
      <w:pPr>
        <w:pStyle w:val="ListBullet"/>
        <w:spacing w:after="40"/>
      </w:pPr>
      <w:r>
        <w:t>Visit proof: QR, GPS, timestamp, technician identity, before/after photos, acknowledgement; configurable geo-fencing/offline mode.</w:t>
      </w:r>
    </w:p>
    <w:p>
      <w:pPr>
        <w:pStyle w:val="Heading2"/>
      </w:pPr>
      <w:r>
        <w:t>7.3 Housekeeping</w:t>
      </w:r>
    </w:p>
    <w:p>
      <w:pPr>
        <w:pStyle w:val="ListBullet"/>
        <w:spacing w:after="40"/>
      </w:pPr>
      <w:r>
        <w:t>Shift plans, areas, schedules, checklists, consumables, attendance, inspections and quality.</w:t>
      </w:r>
    </w:p>
    <w:p>
      <w:pPr>
        <w:pStyle w:val="ListBullet"/>
        <w:spacing w:after="40"/>
      </w:pPr>
      <w:r>
        <w:t>Recurring tasks, evidence-based closure and vendor/team performance.</w:t>
      </w:r>
    </w:p>
    <w:p>
      <w:pPr>
        <w:pStyle w:val="Heading2"/>
      </w:pPr>
      <w:r>
        <w:t>7.4 Workplace &amp; Seating</w:t>
      </w:r>
    </w:p>
    <w:p>
      <w:pPr>
        <w:pStyle w:val="ListBullet"/>
        <w:spacing w:after="40"/>
      </w:pPr>
      <w:r>
        <w:t>Seat, desk, locker and parking allocation; hot desk; utilization; new-joiner readiness; exit reclamation.</w:t>
      </w:r>
    </w:p>
    <w:p>
      <w:pPr>
        <w:pStyle w:val="Heading2"/>
      </w:pPr>
      <w:r>
        <w:t>7.5 Meeting Rooms &amp; Events</w:t>
      </w:r>
    </w:p>
    <w:p>
      <w:pPr>
        <w:pStyle w:val="ListBullet"/>
        <w:spacing w:after="40"/>
      </w:pPr>
      <w:r>
        <w:t>Room master, capacity, facilities, live availability and branch context.</w:t>
      </w:r>
    </w:p>
    <w:p>
      <w:pPr>
        <w:pStyle w:val="ListBullet"/>
        <w:spacing w:after="40"/>
      </w:pPr>
      <w:r>
        <w:t>Booking through web, QR and conversational channels.</w:t>
      </w:r>
    </w:p>
    <w:p>
      <w:pPr>
        <w:pStyle w:val="ListBullet"/>
        <w:spacing w:after="40"/>
      </w:pPr>
      <w:r>
        <w:t>AV, catering, setup tasks, check-in, no-show detection and auto-release.</w:t>
      </w:r>
    </w:p>
    <w:p>
      <w:pPr>
        <w:pStyle w:val="ListBullet"/>
        <w:spacing w:after="40"/>
      </w:pPr>
      <w:r>
        <w:t>Event checklist, stakeholder coordination and post-event closure.</w:t>
      </w:r>
    </w:p>
    <w:p>
      <w:pPr>
        <w:pStyle w:val="Heading2"/>
      </w:pPr>
      <w:r>
        <w:t>7.6 Visitor &amp; Security</w:t>
      </w:r>
    </w:p>
    <w:p>
      <w:pPr>
        <w:pStyle w:val="ListBullet"/>
        <w:spacing w:after="40"/>
      </w:pPr>
      <w:r>
        <w:t>Visitor pre-registration, host alert, parking, contractor/material passes and QR visitor passes.</w:t>
      </w:r>
    </w:p>
    <w:p>
      <w:pPr>
        <w:pStyle w:val="ListBullet"/>
        <w:spacing w:after="40"/>
      </w:pPr>
      <w:r>
        <w:t>Overstay/unreturned-pass alerts and incident/lost-found workflows.</w:t>
      </w:r>
    </w:p>
    <w:p>
      <w:pPr>
        <w:pStyle w:val="Heading2"/>
      </w:pPr>
      <w:r>
        <w:t>7.7 Transport &amp; Travel</w:t>
      </w:r>
    </w:p>
    <w:p>
      <w:pPr>
        <w:pStyle w:val="ListBullet"/>
        <w:spacing w:after="40"/>
      </w:pPr>
      <w:r>
        <w:t>Cab routes, night drops, shuttles and pickup changes.</w:t>
      </w:r>
    </w:p>
    <w:p>
      <w:pPr>
        <w:pStyle w:val="ListBullet"/>
        <w:spacing w:after="40"/>
      </w:pPr>
      <w:r>
        <w:t>Travel policy by grade; flights, trains, cabs, hotels, guest houses and related coordination.</w:t>
      </w:r>
    </w:p>
    <w:p>
      <w:pPr>
        <w:pStyle w:val="ListBullet"/>
        <w:spacing w:after="40"/>
      </w:pPr>
      <w:r>
        <w:t>Trip-plan communication and post-trip expense reminders.</w:t>
      </w:r>
    </w:p>
    <w:p>
      <w:pPr>
        <w:pStyle w:val="Heading2"/>
      </w:pPr>
      <w:r>
        <w:t>7.8 Supplies &amp; Inventory</w:t>
      </w:r>
    </w:p>
    <w:p>
      <w:pPr>
        <w:pStyle w:val="ListBullet"/>
        <w:spacing w:after="40"/>
      </w:pPr>
      <w:r>
        <w:t>Item/SKU master, stock by branch, min/max, reorder point and safety stock.</w:t>
      </w:r>
    </w:p>
    <w:p>
      <w:pPr>
        <w:pStyle w:val="ListBullet"/>
        <w:spacing w:after="40"/>
      </w:pPr>
      <w:r>
        <w:t>Consumption, forecast, auto-requisition/reorder subject to policy and budget.</w:t>
      </w:r>
    </w:p>
    <w:p>
      <w:pPr>
        <w:pStyle w:val="ListBullet"/>
        <w:spacing w:after="40"/>
      </w:pPr>
      <w:r>
        <w:t>Approved item/vendor/rate controls and inter-branch transfer.</w:t>
      </w:r>
    </w:p>
    <w:p>
      <w:pPr>
        <w:pStyle w:val="Heading2"/>
      </w:pPr>
      <w:r>
        <w:t>7.9 Procurement</w:t>
      </w:r>
    </w:p>
    <w:p>
      <w:pPr>
        <w:pStyle w:val="ListBullet"/>
        <w:spacing w:after="40"/>
      </w:pPr>
      <w:r>
        <w:t>Requirement → approval → RFQ → quotation → evaluation → vendor → PO → delivery/GRN → invoice → payment control.</w:t>
      </w:r>
    </w:p>
    <w:p>
      <w:pPr>
        <w:pStyle w:val="ListBullet"/>
        <w:spacing w:after="40"/>
      </w:pPr>
      <w:r>
        <w:t>Approved catalogue/vendor controls, budget checks and 3-way matching.</w:t>
      </w:r>
    </w:p>
    <w:p>
      <w:pPr>
        <w:pStyle w:val="ListBullet"/>
        <w:spacing w:after="40"/>
      </w:pPr>
      <w:r>
        <w:t>Exceptions for short delivery, price variance, rejection and invoice mismatch.</w:t>
      </w:r>
    </w:p>
    <w:p>
      <w:pPr>
        <w:pStyle w:val="Heading2"/>
      </w:pPr>
      <w:r>
        <w:t>7.10 Email-Native Procurement</w:t>
      </w:r>
    </w:p>
    <w:p>
      <w:pPr>
        <w:pStyle w:val="ListBullet"/>
        <w:spacing w:after="40"/>
      </w:pPr>
      <w:r>
        <w:t>Designated mailbox converts procurement conversations into structured business events.</w:t>
      </w:r>
    </w:p>
    <w:p>
      <w:pPr>
        <w:pStyle w:val="ListBullet"/>
        <w:spacing w:after="40"/>
      </w:pPr>
      <w:r>
        <w:t>AI extracts requirement, quantity, vendor, dates and commercial intent.</w:t>
      </w:r>
    </w:p>
    <w:p>
      <w:pPr>
        <w:pStyle w:val="ListBullet"/>
        <w:spacing w:after="40"/>
      </w:pPr>
      <w:r>
        <w:t>Conversation stays linked to structured case.</w:t>
      </w:r>
    </w:p>
    <w:p>
      <w:pPr>
        <w:pStyle w:val="ListBullet"/>
        <w:spacing w:after="40"/>
      </w:pPr>
      <w:r>
        <w:t>No financial commitment without required policy/approval.</w:t>
      </w:r>
    </w:p>
    <w:p>
      <w:pPr>
        <w:pStyle w:val="Heading2"/>
      </w:pPr>
      <w:r>
        <w:t>7.11 Vendor &amp; Contract Management</w:t>
      </w:r>
    </w:p>
    <w:p>
      <w:pPr>
        <w:pStyle w:val="ListBullet"/>
        <w:spacing w:after="40"/>
      </w:pPr>
      <w:r>
        <w:t>Onboarding, services, branches, contracts, rates, SLA, licences and compliance.</w:t>
      </w:r>
    </w:p>
    <w:p>
      <w:pPr>
        <w:pStyle w:val="ListBullet"/>
        <w:spacing w:after="40"/>
      </w:pPr>
      <w:r>
        <w:t>Performance from real work-order/invoice data, renewal alerts and rate validation.</w:t>
      </w:r>
    </w:p>
    <w:p>
      <w:pPr>
        <w:pStyle w:val="Heading2"/>
      </w:pPr>
      <w:r>
        <w:t>7.12 Compliance / Fire / Safety</w:t>
      </w:r>
    </w:p>
    <w:p>
      <w:pPr>
        <w:pStyle w:val="ListBullet"/>
        <w:spacing w:after="40"/>
      </w:pPr>
      <w:r>
        <w:t>Obligation master by location; fire, lift, pollution, electrical, FSSAI and customer-configured requirements.</w:t>
      </w:r>
    </w:p>
    <w:p>
      <w:pPr>
        <w:pStyle w:val="ListBullet"/>
        <w:spacing w:after="40"/>
      </w:pPr>
      <w:r>
        <w:t>Expiry alerts; drills; contract-labour compliance evidence.</w:t>
      </w:r>
    </w:p>
    <w:p>
      <w:pPr>
        <w:pStyle w:val="ListBullet"/>
        <w:spacing w:after="40"/>
      </w:pPr>
      <w:r>
        <w:t>Inspection → finding → corrective action → evidence → closure.</w:t>
      </w:r>
    </w:p>
    <w:p>
      <w:pPr>
        <w:pStyle w:val="Heading2"/>
      </w:pPr>
      <w:r>
        <w:t>7.13 Utilities &amp; Energy</w:t>
      </w:r>
    </w:p>
    <w:p>
      <w:pPr>
        <w:pStyle w:val="ListBullet"/>
        <w:spacing w:after="40"/>
      </w:pPr>
      <w:r>
        <w:t>Electricity, water, diesel and other utility cost/consumption by branch.</w:t>
      </w:r>
    </w:p>
    <w:p>
      <w:pPr>
        <w:pStyle w:val="ListBullet"/>
        <w:spacing w:after="40"/>
      </w:pPr>
      <w:r>
        <w:t>Spike detection and branch benchmarking.</w:t>
      </w:r>
    </w:p>
    <w:p>
      <w:pPr>
        <w:pStyle w:val="Heading2"/>
      </w:pPr>
      <w:r>
        <w:t>7.14 Lease &amp; Rental</w:t>
      </w:r>
    </w:p>
    <w:p>
      <w:pPr>
        <w:pStyle w:val="ListBullet"/>
        <w:spacing w:after="40"/>
      </w:pPr>
      <w:r>
        <w:t>Lease, landlord, branch, area, rent, CAM, deposit, escalation, notice, expiry and renewal.</w:t>
      </w:r>
    </w:p>
    <w:p>
      <w:pPr>
        <w:pStyle w:val="ListBullet"/>
        <w:spacing w:after="40"/>
      </w:pPr>
      <w:r>
        <w:t>Documents, budget/payment integration and cost benchmarking.</w:t>
      </w:r>
    </w:p>
    <w:p>
      <w:pPr>
        <w:pStyle w:val="Heading2"/>
      </w:pPr>
      <w:r>
        <w:t>7.15 Onboarding / Offboarding</w:t>
      </w:r>
    </w:p>
    <w:p>
      <w:pPr>
        <w:pStyle w:val="ListBullet"/>
        <w:spacing w:after="40"/>
      </w:pPr>
      <w:r>
        <w:t>HR-triggered day-1 readiness across seat, laptop, card, access and welcome requirements.</w:t>
      </w:r>
    </w:p>
    <w:p>
      <w:pPr>
        <w:pStyle w:val="ListBullet"/>
        <w:spacing w:after="40"/>
      </w:pPr>
      <w:r>
        <w:t>Exit orchestration across IT/Admin/Finance/Security, asset recovery and access revocation.</w:t>
      </w:r>
    </w:p>
    <w:p>
      <w:pPr>
        <w:pStyle w:val="Heading2"/>
      </w:pPr>
      <w:r>
        <w:t>7.16 Employee Helpdesk &amp; Knowledge</w:t>
      </w:r>
    </w:p>
    <w:p>
      <w:pPr>
        <w:pStyle w:val="ListBullet"/>
        <w:spacing w:after="40"/>
      </w:pPr>
      <w:r>
        <w:t>Natural-language answers from controlled knowledge and live structured data.</w:t>
      </w:r>
    </w:p>
    <w:p>
      <w:pPr>
        <w:pStyle w:val="ListBullet"/>
        <w:spacing w:after="40"/>
      </w:pPr>
      <w:r>
        <w:t>Branch/role-aware responses; versioned and auditable knowledge.</w:t>
      </w:r>
    </w:p>
    <w:p>
      <w:pPr>
        <w:pStyle w:val="Heading1"/>
      </w:pPr>
      <w:r>
        <w:t>8. AI Architecture &amp; Governance</w:t>
      </w:r>
    </w:p>
    <w:p>
      <w:pPr>
        <w:pStyle w:val="ListBullet"/>
        <w:spacing w:after="40"/>
      </w:pPr>
      <w:r>
        <w:t>Intent understanding</w:t>
      </w:r>
    </w:p>
    <w:p>
      <w:pPr>
        <w:pStyle w:val="ListBullet"/>
        <w:spacing w:after="40"/>
      </w:pPr>
      <w:r>
        <w:t>Objective extraction</w:t>
      </w:r>
    </w:p>
    <w:p>
      <w:pPr>
        <w:pStyle w:val="ListBullet"/>
        <w:spacing w:after="40"/>
      </w:pPr>
      <w:r>
        <w:t>Context assembly</w:t>
      </w:r>
    </w:p>
    <w:p>
      <w:pPr>
        <w:pStyle w:val="ListBullet"/>
        <w:spacing w:after="40"/>
      </w:pPr>
      <w:r>
        <w:t>Plan generation</w:t>
      </w:r>
    </w:p>
    <w:p>
      <w:pPr>
        <w:pStyle w:val="ListBullet"/>
        <w:spacing w:after="40"/>
      </w:pPr>
      <w:r>
        <w:t>Email/document extraction</w:t>
      </w:r>
    </w:p>
    <w:p>
      <w:pPr>
        <w:pStyle w:val="ListBullet"/>
        <w:spacing w:after="40"/>
      </w:pPr>
      <w:r>
        <w:t>Pattern/anomaly detection</w:t>
      </w:r>
    </w:p>
    <w:p>
      <w:pPr>
        <w:pStyle w:val="ListBullet"/>
        <w:spacing w:after="40"/>
      </w:pPr>
      <w:r>
        <w:t>Recommendations</w:t>
      </w:r>
    </w:p>
    <w:p>
      <w:pPr>
        <w:pStyle w:val="ListBullet"/>
        <w:spacing w:after="40"/>
      </w:pPr>
      <w:r>
        <w:t>Natural-language interaction</w:t>
      </w:r>
    </w:p>
    <w:p>
      <w:pPr>
        <w:pStyle w:val="ListBullet"/>
        <w:spacing w:after="40"/>
      </w:pPr>
      <w:r>
        <w:t>RAG/knowledge retrieval</w:t>
      </w:r>
    </w:p>
    <w:p>
      <w:pPr>
        <w:pStyle w:val="ListBullet"/>
        <w:spacing w:after="40"/>
      </w:pPr>
      <w:r>
        <w:t>AI Procurement Copilot</w:t>
      </w:r>
    </w:p>
    <w:p>
      <w:pPr>
        <w:pStyle w:val="ListBullet"/>
        <w:spacing w:after="40"/>
      </w:pPr>
      <w:r>
        <w:t>AI Vendor Evaluation</w:t>
      </w:r>
    </w:p>
    <w:p>
      <w:pPr>
        <w:pStyle w:val="ListBullet"/>
        <w:spacing w:after="40"/>
      </w:pPr>
      <w:r>
        <w:t>AI Smart Item Assistant</w:t>
      </w:r>
    </w:p>
    <w:p>
      <w:pPr>
        <w:pStyle w:val="ListBullet"/>
        <w:spacing w:after="40"/>
      </w:pPr>
      <w:r>
        <w:t>AI Demand Prediction</w:t>
      </w:r>
    </w:p>
    <w:p>
      <w:r>
        <w:t>AI is not the system of record. Structured facts, approvals, balances, asset state, SLA state and transaction state come from governed services/databases.</w:t>
      </w:r>
    </w:p>
    <w:p>
      <w:pPr>
        <w:pStyle w:val="ListBullet"/>
        <w:spacing w:after="40"/>
      </w:pPr>
      <w:r>
        <w:t>Human approval for configured high-risk actions</w:t>
      </w:r>
    </w:p>
    <w:p>
      <w:pPr>
        <w:pStyle w:val="ListBullet"/>
        <w:spacing w:after="40"/>
      </w:pPr>
      <w:r>
        <w:t>AI emergency stop</w:t>
      </w:r>
    </w:p>
    <w:p>
      <w:pPr>
        <w:pStyle w:val="ListBullet"/>
        <w:spacing w:after="40"/>
      </w:pPr>
      <w:r>
        <w:t>Model/prompt/tool versioning</w:t>
      </w:r>
    </w:p>
    <w:p>
      <w:pPr>
        <w:pStyle w:val="ListBullet"/>
        <w:spacing w:after="40"/>
      </w:pPr>
      <w:r>
        <w:t>Role-based AI access</w:t>
      </w:r>
    </w:p>
    <w:p>
      <w:pPr>
        <w:pStyle w:val="ListBullet"/>
        <w:spacing w:after="40"/>
      </w:pPr>
      <w:r>
        <w:t>Audit AI recommendations/actions</w:t>
      </w:r>
    </w:p>
    <w:p>
      <w:pPr>
        <w:pStyle w:val="ListBullet"/>
        <w:spacing w:after="40"/>
      </w:pPr>
      <w:r>
        <w:t>No silent policy changes</w:t>
      </w:r>
    </w:p>
    <w:p>
      <w:pPr>
        <w:pStyle w:val="ListBullet"/>
        <w:spacing w:after="40"/>
      </w:pPr>
      <w:r>
        <w:t>AI-proposed rule → human review → approval → versioned activation</w:t>
      </w:r>
    </w:p>
    <w:p>
      <w:pPr>
        <w:pStyle w:val="ListBullet"/>
        <w:spacing w:after="40"/>
      </w:pPr>
      <w:r>
        <w:t>Clarification when confidence/context is insufficient</w:t>
      </w:r>
    </w:p>
    <w:p>
      <w:pPr>
        <w:pStyle w:val="Heading1"/>
      </w:pPr>
      <w:r>
        <w:t>9. Event-Driven Operating Model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Event</w:t>
            </w:r>
          </w:p>
        </w:tc>
        <w:tc>
          <w:tcPr>
            <w:tcW w:type="dxa" w:w="5112"/>
            <w:shd w:fill="D9EAF7"/>
          </w:tcPr>
          <w:p>
            <w:r>
              <w:rPr>
                <w:b/>
                <w:sz w:val="17"/>
              </w:rPr>
              <w:t>Example orchestration</w:t>
            </w:r>
          </w:p>
        </w:tc>
      </w:tr>
      <w:tr>
        <w:tc>
          <w:tcPr>
            <w:tcW w:type="dxa" w:w="5112"/>
            <w:vAlign w:val="center"/>
          </w:tcPr>
          <w:p>
            <w:r>
              <w:rPr>
                <w:sz w:val="17"/>
              </w:rPr>
              <w:t>EMPLOYEE_JOINED</w:t>
            </w:r>
          </w:p>
        </w:tc>
        <w:tc>
          <w:tcPr>
            <w:tcW w:type="dxa" w:w="5112"/>
            <w:vAlign w:val="center"/>
          </w:tcPr>
          <w:p>
            <w:r>
              <w:rPr>
                <w:sz w:val="17"/>
              </w:rPr>
              <w:t>Seat + laptop + ID card + access + welcome + manager notification.</w:t>
            </w:r>
          </w:p>
        </w:tc>
      </w:tr>
      <w:tr>
        <w:tc>
          <w:tcPr>
            <w:tcW w:type="dxa" w:w="5112"/>
            <w:vAlign w:val="center"/>
          </w:tcPr>
          <w:p>
            <w:r>
              <w:rPr>
                <w:sz w:val="17"/>
              </w:rPr>
              <w:t>EMPLOYEE_EXITED</w:t>
            </w:r>
          </w:p>
        </w:tc>
        <w:tc>
          <w:tcPr>
            <w:tcW w:type="dxa" w:w="5112"/>
            <w:vAlign w:val="center"/>
          </w:tcPr>
          <w:p>
            <w:r>
              <w:rPr>
                <w:sz w:val="17"/>
              </w:rPr>
              <w:t>Asset recovery + access revocation + seat/locker release + clearance.</w:t>
            </w:r>
          </w:p>
        </w:tc>
      </w:tr>
      <w:tr>
        <w:tc>
          <w:tcPr>
            <w:tcW w:type="dxa" w:w="5112"/>
            <w:vAlign w:val="center"/>
          </w:tcPr>
          <w:p>
            <w:r>
              <w:rPr>
                <w:sz w:val="17"/>
              </w:rPr>
              <w:t>ASSET_BREAKDOWN</w:t>
            </w:r>
          </w:p>
        </w:tc>
        <w:tc>
          <w:tcPr>
            <w:tcW w:type="dxa" w:w="5112"/>
            <w:vAlign w:val="center"/>
          </w:tcPr>
          <w:p>
            <w:r>
              <w:rPr>
                <w:sz w:val="17"/>
              </w:rPr>
              <w:t>Work order + vendor + SLA + parts + evidence + repair/replace decision.</w:t>
            </w:r>
          </w:p>
        </w:tc>
      </w:tr>
      <w:tr>
        <w:tc>
          <w:tcPr>
            <w:tcW w:type="dxa" w:w="5112"/>
            <w:vAlign w:val="center"/>
          </w:tcPr>
          <w:p>
            <w:r>
              <w:rPr>
                <w:sz w:val="17"/>
              </w:rPr>
              <w:t>AMC_EXPIRING</w:t>
            </w:r>
          </w:p>
        </w:tc>
        <w:tc>
          <w:tcPr>
            <w:tcW w:type="dxa" w:w="5112"/>
            <w:vAlign w:val="center"/>
          </w:tcPr>
          <w:p>
            <w:r>
              <w:rPr>
                <w:sz w:val="17"/>
              </w:rPr>
              <w:t>Vendor review + renewal decision + budget + approval.</w:t>
            </w:r>
          </w:p>
        </w:tc>
      </w:tr>
      <w:tr>
        <w:tc>
          <w:tcPr>
            <w:tcW w:type="dxa" w:w="5112"/>
            <w:vAlign w:val="center"/>
          </w:tcPr>
          <w:p>
            <w:r>
              <w:rPr>
                <w:sz w:val="17"/>
              </w:rPr>
              <w:t>STOCK_BELOW_REORDER</w:t>
            </w:r>
          </w:p>
        </w:tc>
        <w:tc>
          <w:tcPr>
            <w:tcW w:type="dxa" w:w="5112"/>
            <w:vAlign w:val="center"/>
          </w:tcPr>
          <w:p>
            <w:r>
              <w:rPr>
                <w:sz w:val="17"/>
              </w:rPr>
              <w:t>Demand check + approved vendor + requisition/PO.</w:t>
            </w:r>
          </w:p>
        </w:tc>
      </w:tr>
      <w:tr>
        <w:tc>
          <w:tcPr>
            <w:tcW w:type="dxa" w:w="5112"/>
            <w:vAlign w:val="center"/>
          </w:tcPr>
          <w:p>
            <w:r>
              <w:rPr>
                <w:sz w:val="17"/>
              </w:rPr>
              <w:t>VISITOR_ARRIVED</w:t>
            </w:r>
          </w:p>
        </w:tc>
        <w:tc>
          <w:tcPr>
            <w:tcW w:type="dxa" w:w="5112"/>
            <w:vAlign w:val="center"/>
          </w:tcPr>
          <w:p>
            <w:r>
              <w:rPr>
                <w:sz w:val="17"/>
              </w:rPr>
              <w:t>Host alert + security acknowledgement + pass status.</w:t>
            </w:r>
          </w:p>
        </w:tc>
      </w:tr>
      <w:tr>
        <w:tc>
          <w:tcPr>
            <w:tcW w:type="dxa" w:w="5112"/>
            <w:vAlign w:val="center"/>
          </w:tcPr>
          <w:p>
            <w:r>
              <w:rPr>
                <w:sz w:val="17"/>
              </w:rPr>
              <w:t>COMPLIANCE_EXPIRING</w:t>
            </w:r>
          </w:p>
        </w:tc>
        <w:tc>
          <w:tcPr>
            <w:tcW w:type="dxa" w:w="5112"/>
            <w:vAlign w:val="center"/>
          </w:tcPr>
          <w:p>
            <w:r>
              <w:rPr>
                <w:sz w:val="17"/>
              </w:rPr>
              <w:t>Owner/vendor tasks + escalation + evidence + renewal.</w:t>
            </w:r>
          </w:p>
        </w:tc>
      </w:tr>
      <w:tr>
        <w:tc>
          <w:tcPr>
            <w:tcW w:type="dxa" w:w="5112"/>
            <w:vAlign w:val="center"/>
          </w:tcPr>
          <w:p>
            <w:r>
              <w:rPr>
                <w:sz w:val="17"/>
              </w:rPr>
              <w:t>INVOICE_RECEIVED</w:t>
            </w:r>
          </w:p>
        </w:tc>
        <w:tc>
          <w:tcPr>
            <w:tcW w:type="dxa" w:w="5112"/>
            <w:vAlign w:val="center"/>
          </w:tcPr>
          <w:p>
            <w:r>
              <w:rPr>
                <w:sz w:val="17"/>
              </w:rPr>
              <w:t>PO/GRN match + rate/variance + approval or exception.</w:t>
            </w:r>
          </w:p>
        </w:tc>
      </w:tr>
      <w:tr>
        <w:tc>
          <w:tcPr>
            <w:tcW w:type="dxa" w:w="5112"/>
            <w:vAlign w:val="center"/>
          </w:tcPr>
          <w:p>
            <w:r>
              <w:rPr>
                <w:sz w:val="17"/>
              </w:rPr>
              <w:t>REPEAT_FAILURE_DETECTED</w:t>
            </w:r>
          </w:p>
        </w:tc>
        <w:tc>
          <w:tcPr>
            <w:tcW w:type="dxa" w:w="5112"/>
            <w:vAlign w:val="center"/>
          </w:tcPr>
          <w:p>
            <w:r>
              <w:rPr>
                <w:sz w:val="17"/>
              </w:rPr>
              <w:t>AI recommendation + asset health update + replacement workflow.</w:t>
            </w:r>
          </w:p>
        </w:tc>
      </w:tr>
      <w:tr>
        <w:tc>
          <w:tcPr>
            <w:tcW w:type="dxa" w:w="5112"/>
            <w:vAlign w:val="center"/>
          </w:tcPr>
          <w:p>
            <w:r>
              <w:rPr>
                <w:sz w:val="17"/>
              </w:rPr>
              <w:t>TRAVEL_DESTINATION_CHANGED</w:t>
            </w:r>
          </w:p>
        </w:tc>
        <w:tc>
          <w:tcPr>
            <w:tcW w:type="dxa" w:w="5112"/>
            <w:vAlign w:val="center"/>
          </w:tcPr>
          <w:p>
            <w:r>
              <w:rPr>
                <w:sz w:val="17"/>
              </w:rPr>
              <w:t>Branch context + room/desk/cab/service routing.</w:t>
            </w:r>
          </w:p>
        </w:tc>
      </w:tr>
    </w:tbl>
    <w:p/>
    <w:p>
      <w:pPr>
        <w:pStyle w:val="Heading1"/>
      </w:pPr>
      <w:r>
        <w:t>10. Omnichannel Experience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Channel</w:t>
            </w:r>
          </w:p>
        </w:tc>
        <w:tc>
          <w:tcPr>
            <w:tcW w:type="dxa" w:w="5112"/>
            <w:shd w:fill="D9EAF7"/>
          </w:tcPr>
          <w:p>
            <w:r>
              <w:rPr>
                <w:b/>
                <w:sz w:val="17"/>
              </w:rPr>
              <w:t>Primary use</w:t>
            </w:r>
          </w:p>
        </w:tc>
      </w:tr>
      <w:tr>
        <w:tc>
          <w:tcPr>
            <w:tcW w:type="dxa" w:w="5112"/>
            <w:vAlign w:val="center"/>
          </w:tcPr>
          <w:p>
            <w:r>
              <w:rPr>
                <w:sz w:val="17"/>
              </w:rPr>
              <w:t>Web</w:t>
            </w:r>
          </w:p>
        </w:tc>
        <w:tc>
          <w:tcPr>
            <w:tcW w:type="dxa" w:w="5112"/>
            <w:vAlign w:val="center"/>
          </w:tcPr>
          <w:p>
            <w:r>
              <w:rPr>
                <w:sz w:val="17"/>
              </w:rPr>
              <w:t>Admin configuration, dashboards, masters, approvals, workflows and reports.</w:t>
            </w:r>
          </w:p>
        </w:tc>
      </w:tr>
      <w:tr>
        <w:tc>
          <w:tcPr>
            <w:tcW w:type="dxa" w:w="5112"/>
            <w:vAlign w:val="center"/>
          </w:tcPr>
          <w:p>
            <w:r>
              <w:rPr>
                <w:sz w:val="17"/>
              </w:rPr>
              <w:t>WhatsApp</w:t>
            </w:r>
          </w:p>
        </w:tc>
        <w:tc>
          <w:tcPr>
            <w:tcW w:type="dxa" w:w="5112"/>
            <w:vAlign w:val="center"/>
          </w:tcPr>
          <w:p>
            <w:r>
              <w:rPr>
                <w:sz w:val="17"/>
              </w:rPr>
              <w:t>Employee requests, status, simple approvals, visitor/service interactions.</w:t>
            </w:r>
          </w:p>
        </w:tc>
      </w:tr>
      <w:tr>
        <w:tc>
          <w:tcPr>
            <w:tcW w:type="dxa" w:w="5112"/>
            <w:vAlign w:val="center"/>
          </w:tcPr>
          <w:p>
            <w:r>
              <w:rPr>
                <w:sz w:val="17"/>
              </w:rPr>
              <w:t>Teams</w:t>
            </w:r>
          </w:p>
        </w:tc>
        <w:tc>
          <w:tcPr>
            <w:tcW w:type="dxa" w:w="5112"/>
            <w:vAlign w:val="center"/>
          </w:tcPr>
          <w:p>
            <w:r>
              <w:rPr>
                <w:sz w:val="17"/>
              </w:rPr>
              <w:t>Employee interaction and notifications.</w:t>
            </w:r>
          </w:p>
        </w:tc>
      </w:tr>
      <w:tr>
        <w:tc>
          <w:tcPr>
            <w:tcW w:type="dxa" w:w="5112"/>
            <w:vAlign w:val="center"/>
          </w:tcPr>
          <w:p>
            <w:r>
              <w:rPr>
                <w:sz w:val="17"/>
              </w:rPr>
              <w:t>Email</w:t>
            </w:r>
          </w:p>
        </w:tc>
        <w:tc>
          <w:tcPr>
            <w:tcW w:type="dxa" w:w="5112"/>
            <w:vAlign w:val="center"/>
          </w:tcPr>
          <w:p>
            <w:r>
              <w:rPr>
                <w:sz w:val="17"/>
              </w:rPr>
              <w:t>Communication, case initiation, procurement conversations and notifications.</w:t>
            </w:r>
          </w:p>
        </w:tc>
      </w:tr>
      <w:tr>
        <w:tc>
          <w:tcPr>
            <w:tcW w:type="dxa" w:w="5112"/>
            <w:vAlign w:val="center"/>
          </w:tcPr>
          <w:p>
            <w:r>
              <w:rPr>
                <w:sz w:val="17"/>
              </w:rPr>
              <w:t>QR/NFC</w:t>
            </w:r>
          </w:p>
        </w:tc>
        <w:tc>
          <w:tcPr>
            <w:tcW w:type="dxa" w:w="5112"/>
            <w:vAlign w:val="center"/>
          </w:tcPr>
          <w:p>
            <w:r>
              <w:rPr>
                <w:sz w:val="17"/>
              </w:rPr>
              <w:t>Contextual initiation for rooms, assets, washrooms, ACs and other physical entities.</w:t>
            </w:r>
          </w:p>
        </w:tc>
      </w:tr>
      <w:tr>
        <w:tc>
          <w:tcPr>
            <w:tcW w:type="dxa" w:w="5112"/>
            <w:vAlign w:val="center"/>
          </w:tcPr>
          <w:p>
            <w:r>
              <w:rPr>
                <w:sz w:val="17"/>
              </w:rPr>
              <w:t>Field mobile</w:t>
            </w:r>
          </w:p>
        </w:tc>
        <w:tc>
          <w:tcPr>
            <w:tcW w:type="dxa" w:w="5112"/>
            <w:vAlign w:val="center"/>
          </w:tcPr>
          <w:p>
            <w:r>
              <w:rPr>
                <w:sz w:val="17"/>
              </w:rPr>
              <w:t>Technician/housekeeping/security task acceptance, evidence and closure.</w:t>
            </w:r>
          </w:p>
        </w:tc>
      </w:tr>
    </w:tbl>
    <w:p/>
    <w:p>
      <w:pPr>
        <w:pStyle w:val="Heading1"/>
      </w:pPr>
      <w:r>
        <w:t>11. Security-by-Design — BFSI-Ready Foundation</w:t>
      </w:r>
    </w:p>
    <w:p>
      <w:pPr>
        <w:pStyle w:val="ListBullet"/>
        <w:spacing w:after="40"/>
      </w:pPr>
      <w:r>
        <w:t>Strict multi-tenant data isolation</w:t>
      </w:r>
    </w:p>
    <w:p>
      <w:pPr>
        <w:pStyle w:val="ListBullet"/>
        <w:spacing w:after="40"/>
      </w:pPr>
      <w:r>
        <w:t>PostgreSQL Row-Level Security where applicable</w:t>
      </w:r>
    </w:p>
    <w:p>
      <w:pPr>
        <w:pStyle w:val="ListBullet"/>
        <w:spacing w:after="40"/>
      </w:pPr>
      <w:r>
        <w:t>UUID-based entity identifiers</w:t>
      </w:r>
    </w:p>
    <w:p>
      <w:pPr>
        <w:pStyle w:val="ListBullet"/>
        <w:spacing w:after="40"/>
      </w:pPr>
      <w:r>
        <w:t>RBAC with branch/location scope; ABAC where required</w:t>
      </w:r>
    </w:p>
    <w:p>
      <w:pPr>
        <w:pStyle w:val="ListBullet"/>
        <w:spacing w:after="40"/>
      </w:pPr>
      <w:r>
        <w:t>MFA and enterprise SSO</w:t>
      </w:r>
    </w:p>
    <w:p>
      <w:pPr>
        <w:pStyle w:val="ListBullet"/>
        <w:spacing w:after="40"/>
      </w:pPr>
      <w:r>
        <w:t>Encryption in transit and at rest</w:t>
      </w:r>
    </w:p>
    <w:p>
      <w:pPr>
        <w:pStyle w:val="ListBullet"/>
        <w:spacing w:after="40"/>
      </w:pPr>
      <w:r>
        <w:t>Secrets management</w:t>
      </w:r>
    </w:p>
    <w:p>
      <w:pPr>
        <w:pStyle w:val="ListBullet"/>
        <w:spacing w:after="40"/>
      </w:pPr>
      <w:r>
        <w:t>Least-privilege service/vendor access</w:t>
      </w:r>
    </w:p>
    <w:p>
      <w:pPr>
        <w:pStyle w:val="ListBullet"/>
        <w:spacing w:after="40"/>
      </w:pPr>
      <w:r>
        <w:t>Immutable/auditable logs</w:t>
      </w:r>
    </w:p>
    <w:p>
      <w:pPr>
        <w:pStyle w:val="ListBullet"/>
        <w:spacing w:after="40"/>
      </w:pPr>
      <w:r>
        <w:t>Privileged-access controls</w:t>
      </w:r>
    </w:p>
    <w:p>
      <w:pPr>
        <w:pStyle w:val="ListBullet"/>
        <w:spacing w:after="40"/>
      </w:pPr>
      <w:r>
        <w:t>API authentication/authorization/rate limiting</w:t>
      </w:r>
    </w:p>
    <w:p>
      <w:pPr>
        <w:pStyle w:val="ListBullet"/>
        <w:spacing w:after="40"/>
      </w:pPr>
      <w:r>
        <w:t>Retention and deletion policies</w:t>
      </w:r>
    </w:p>
    <w:p>
      <w:pPr>
        <w:pStyle w:val="ListBullet"/>
        <w:spacing w:after="40"/>
      </w:pPr>
      <w:r>
        <w:t>Backup/DR/BCP</w:t>
      </w:r>
    </w:p>
    <w:p>
      <w:pPr>
        <w:pStyle w:val="ListBullet"/>
        <w:spacing w:after="40"/>
      </w:pPr>
      <w:r>
        <w:t>Security monitoring and incident response</w:t>
      </w:r>
    </w:p>
    <w:p>
      <w:pPr>
        <w:pStyle w:val="ListBullet"/>
        <w:spacing w:after="40"/>
      </w:pPr>
      <w:r>
        <w:t>Secure SDLC and vulnerability management</w:t>
      </w:r>
    </w:p>
    <w:p>
      <w:pPr>
        <w:pStyle w:val="ListBullet"/>
        <w:spacing w:after="40"/>
      </w:pPr>
      <w:r>
        <w:t>Independent security assessment before production</w:t>
      </w:r>
    </w:p>
    <w:p>
      <w:pPr>
        <w:pStyle w:val="ListBullet"/>
        <w:spacing w:after="40"/>
      </w:pPr>
      <w:r>
        <w:t>Customer-specific infosec configuration</w:t>
      </w:r>
    </w:p>
    <w:p>
      <w:r>
        <w:rPr>
          <w:b/>
        </w:rPr>
        <w:t>No tenant, user, vendor, AI agent or integration may bypass authorization and policy layers to access or modify protected business data.</w:t>
      </w:r>
    </w:p>
    <w:p>
      <w:pPr>
        <w:pStyle w:val="Heading1"/>
      </w:pPr>
      <w:r>
        <w:t>12. Integration &amp; API Layer</w:t>
      </w:r>
    </w:p>
    <w:p>
      <w:pPr>
        <w:pStyle w:val="ListBullet"/>
        <w:spacing w:after="40"/>
      </w:pPr>
      <w:r>
        <w:t>HRMS: Keka, Darwinbox, Zoho People, SAP SuccessFactors or customer APIs</w:t>
      </w:r>
    </w:p>
    <w:p>
      <w:pPr>
        <w:pStyle w:val="ListBullet"/>
        <w:spacing w:after="40"/>
      </w:pPr>
      <w:r>
        <w:t>ERP/Finance: SAP, Tally, Zoho Books or customer APIs</w:t>
      </w:r>
    </w:p>
    <w:p>
      <w:pPr>
        <w:pStyle w:val="ListBullet"/>
        <w:spacing w:after="40"/>
      </w:pPr>
      <w:r>
        <w:t>Identity: Microsoft Entra ID / AD / Google Workspace</w:t>
      </w:r>
    </w:p>
    <w:p>
      <w:pPr>
        <w:pStyle w:val="ListBullet"/>
        <w:spacing w:after="40"/>
      </w:pPr>
      <w:r>
        <w:t>Email and calendar</w:t>
      </w:r>
    </w:p>
    <w:p>
      <w:pPr>
        <w:pStyle w:val="ListBullet"/>
        <w:spacing w:after="40"/>
      </w:pPr>
      <w:r>
        <w:t>WhatsApp Business API</w:t>
      </w:r>
    </w:p>
    <w:p>
      <w:pPr>
        <w:pStyle w:val="ListBullet"/>
        <w:spacing w:after="40"/>
      </w:pPr>
      <w:r>
        <w:t>Microsoft Teams</w:t>
      </w:r>
    </w:p>
    <w:p>
      <w:pPr>
        <w:pStyle w:val="ListBullet"/>
        <w:spacing w:after="40"/>
      </w:pPr>
      <w:r>
        <w:t>Payment/accounting systems</w:t>
      </w:r>
    </w:p>
    <w:p>
      <w:pPr>
        <w:pStyle w:val="ListBullet"/>
        <w:spacing w:after="40"/>
      </w:pPr>
      <w:r>
        <w:t>IoT/building systems where available</w:t>
      </w:r>
    </w:p>
    <w:p>
      <w:pPr>
        <w:pStyle w:val="ListBullet"/>
        <w:spacing w:after="40"/>
      </w:pPr>
      <w:r>
        <w:t>Canonical AdminServices entities</w:t>
      </w:r>
    </w:p>
    <w:p>
      <w:pPr>
        <w:pStyle w:val="ListBullet"/>
        <w:spacing w:after="40"/>
      </w:pPr>
      <w:r>
        <w:t>Idempotent event handling</w:t>
      </w:r>
    </w:p>
    <w:p>
      <w:pPr>
        <w:pStyle w:val="ListBullet"/>
        <w:spacing w:after="40"/>
      </w:pPr>
      <w:r>
        <w:t>Retry/dead-letter handling</w:t>
      </w:r>
    </w:p>
    <w:p>
      <w:pPr>
        <w:pStyle w:val="ListBullet"/>
        <w:spacing w:after="40"/>
      </w:pPr>
      <w:r>
        <w:t>Webhook verification</w:t>
      </w:r>
    </w:p>
    <w:p>
      <w:pPr>
        <w:pStyle w:val="ListBullet"/>
        <w:spacing w:after="40"/>
      </w:pPr>
      <w:r>
        <w:t>Audit external transactions</w:t>
      </w:r>
    </w:p>
    <w:p>
      <w:pPr>
        <w:pStyle w:val="ListBullet"/>
        <w:spacing w:after="40"/>
      </w:pPr>
      <w:r>
        <w:t>External systems cannot bypass platform controls</w:t>
      </w:r>
    </w:p>
    <w:p>
      <w:pPr>
        <w:pStyle w:val="Heading1"/>
      </w:pPr>
      <w:r>
        <w:t>13. Analytics, Benchmarking &amp; Management Control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Layer</w:t>
            </w:r>
          </w:p>
        </w:tc>
        <w:tc>
          <w:tcPr>
            <w:tcW w:type="dxa" w:w="5112"/>
            <w:shd w:fill="D9EAF7"/>
          </w:tcPr>
          <w:p>
            <w:r>
              <w:rPr>
                <w:b/>
                <w:sz w:val="17"/>
              </w:rPr>
              <w:t>Examples</w:t>
            </w:r>
          </w:p>
        </w:tc>
      </w:tr>
      <w:tr>
        <w:tc>
          <w:tcPr>
            <w:tcW w:type="dxa" w:w="5112"/>
            <w:vAlign w:val="center"/>
          </w:tcPr>
          <w:p>
            <w:r>
              <w:rPr>
                <w:sz w:val="17"/>
              </w:rPr>
              <w:t>Operational</w:t>
            </w:r>
          </w:p>
        </w:tc>
        <w:tc>
          <w:tcPr>
            <w:tcW w:type="dxa" w:w="5112"/>
            <w:vAlign w:val="center"/>
          </w:tcPr>
          <w:p>
            <w:r>
              <w:rPr>
                <w:sz w:val="17"/>
              </w:rPr>
              <w:t>Open/overdue cases, PM compliance, SLA breaches, low stock, expiring contracts.</w:t>
            </w:r>
          </w:p>
        </w:tc>
      </w:tr>
      <w:tr>
        <w:tc>
          <w:tcPr>
            <w:tcW w:type="dxa" w:w="5112"/>
            <w:vAlign w:val="center"/>
          </w:tcPr>
          <w:p>
            <w:r>
              <w:rPr>
                <w:sz w:val="17"/>
              </w:rPr>
              <w:t>Financial</w:t>
            </w:r>
          </w:p>
        </w:tc>
        <w:tc>
          <w:tcPr>
            <w:tcW w:type="dxa" w:w="5112"/>
            <w:vAlign w:val="center"/>
          </w:tcPr>
          <w:p>
            <w:r>
              <w:rPr>
                <w:sz w:val="17"/>
              </w:rPr>
              <w:t>Spend by branch/department/category, budget vs actual, invoice variance.</w:t>
            </w:r>
          </w:p>
        </w:tc>
      </w:tr>
      <w:tr>
        <w:tc>
          <w:tcPr>
            <w:tcW w:type="dxa" w:w="5112"/>
            <w:vAlign w:val="center"/>
          </w:tcPr>
          <w:p>
            <w:r>
              <w:rPr>
                <w:sz w:val="17"/>
              </w:rPr>
              <w:t>Vendor</w:t>
            </w:r>
          </w:p>
        </w:tc>
        <w:tc>
          <w:tcPr>
            <w:tcW w:type="dxa" w:w="5112"/>
            <w:vAlign w:val="center"/>
          </w:tcPr>
          <w:p>
            <w:r>
              <w:rPr>
                <w:sz w:val="17"/>
              </w:rPr>
              <w:t>SLA score, repeat failures, response/resolution and contract performance.</w:t>
            </w:r>
          </w:p>
        </w:tc>
      </w:tr>
      <w:tr>
        <w:tc>
          <w:tcPr>
            <w:tcW w:type="dxa" w:w="5112"/>
            <w:vAlign w:val="center"/>
          </w:tcPr>
          <w:p>
            <w:r>
              <w:rPr>
                <w:sz w:val="17"/>
              </w:rPr>
              <w:t>Asset</w:t>
            </w:r>
          </w:p>
        </w:tc>
        <w:tc>
          <w:tcPr>
            <w:tcW w:type="dxa" w:w="5112"/>
            <w:vAlign w:val="center"/>
          </w:tcPr>
          <w:p>
            <w:r>
              <w:rPr>
                <w:sz w:val="17"/>
              </w:rPr>
              <w:t>Failure rate, health, maintenance cost, warranty/AMC and replacement candidates.</w:t>
            </w:r>
          </w:p>
        </w:tc>
      </w:tr>
      <w:tr>
        <w:tc>
          <w:tcPr>
            <w:tcW w:type="dxa" w:w="5112"/>
            <w:vAlign w:val="center"/>
          </w:tcPr>
          <w:p>
            <w:r>
              <w:rPr>
                <w:sz w:val="17"/>
              </w:rPr>
              <w:t>Branch benchmarking</w:t>
            </w:r>
          </w:p>
        </w:tc>
        <w:tc>
          <w:tcPr>
            <w:tcW w:type="dxa" w:w="5112"/>
            <w:vAlign w:val="center"/>
          </w:tcPr>
          <w:p>
            <w:r>
              <w:rPr>
                <w:sz w:val="17"/>
              </w:rPr>
              <w:t>Cost/employee, cost/sq ft, utility use, service quality and asset failures.</w:t>
            </w:r>
          </w:p>
        </w:tc>
      </w:tr>
      <w:tr>
        <w:tc>
          <w:tcPr>
            <w:tcW w:type="dxa" w:w="5112"/>
            <w:vAlign w:val="center"/>
          </w:tcPr>
          <w:p>
            <w:r>
              <w:rPr>
                <w:sz w:val="17"/>
              </w:rPr>
              <w:t>Executive</w:t>
            </w:r>
          </w:p>
        </w:tc>
        <w:tc>
          <w:tcPr>
            <w:tcW w:type="dxa" w:w="5112"/>
            <w:vAlign w:val="center"/>
          </w:tcPr>
          <w:p>
            <w:r>
              <w:rPr>
                <w:sz w:val="17"/>
              </w:rPr>
              <w:t>Admin cost, service performance, risks, approvals and compliance exposure.</w:t>
            </w:r>
          </w:p>
        </w:tc>
      </w:tr>
      <w:tr>
        <w:tc>
          <w:tcPr>
            <w:tcW w:type="dxa" w:w="5112"/>
            <w:vAlign w:val="center"/>
          </w:tcPr>
          <w:p>
            <w:r>
              <w:rPr>
                <w:sz w:val="17"/>
              </w:rPr>
              <w:t>AI intelligence</w:t>
            </w:r>
          </w:p>
        </w:tc>
        <w:tc>
          <w:tcPr>
            <w:tcW w:type="dxa" w:w="5112"/>
            <w:vAlign w:val="center"/>
          </w:tcPr>
          <w:p>
            <w:r>
              <w:rPr>
                <w:sz w:val="17"/>
              </w:rPr>
              <w:t>Anomalies, trends, recurring patterns and controlled recommendations.</w:t>
            </w:r>
          </w:p>
        </w:tc>
      </w:tr>
    </w:tbl>
    <w:p/>
    <w:p>
      <w:pPr>
        <w:pStyle w:val="Heading1"/>
      </w:pPr>
      <w:r>
        <w:t>14. End-to-End Orchestra Example — Meeting Room</w:t>
      </w:r>
    </w:p>
    <w:p>
      <w:r>
        <w:t>Objective: “Book a meeting room for 15 people, 10 AM–12 PM, arrange AV and catering.”</w:t>
      </w:r>
    </w:p>
    <w:p>
      <w:pPr>
        <w:pStyle w:val="ListNumber"/>
        <w:spacing w:after="40"/>
      </w:pPr>
      <w:r>
        <w:t>Employee asks through web/WhatsApp/Teams.</w:t>
      </w:r>
    </w:p>
    <w:p>
      <w:pPr>
        <w:pStyle w:val="ListNumber"/>
        <w:spacing w:after="40"/>
      </w:pPr>
      <w:r>
        <w:t>Orchestra identifies employee, company, branch and calendar context.</w:t>
      </w:r>
    </w:p>
    <w:p>
      <w:pPr>
        <w:pStyle w:val="ListNumber"/>
        <w:spacing w:after="40"/>
      </w:pPr>
      <w:r>
        <w:t>Context Engine determines date, location, capacity and entitlements.</w:t>
      </w:r>
    </w:p>
    <w:p>
      <w:pPr>
        <w:pStyle w:val="ListNumber"/>
        <w:spacing w:after="40"/>
      </w:pPr>
      <w:r>
        <w:t>Meeting Room module returns available rooms.</w:t>
      </w:r>
    </w:p>
    <w:p>
      <w:pPr>
        <w:pStyle w:val="ListNumber"/>
        <w:spacing w:after="40"/>
      </w:pPr>
      <w:r>
        <w:t>Policy Engine checks room/catering rules and spending limits.</w:t>
      </w:r>
    </w:p>
    <w:p>
      <w:pPr>
        <w:pStyle w:val="ListNumber"/>
        <w:spacing w:after="40"/>
      </w:pPr>
      <w:r>
        <w:t>Authority Engine determines whether approval is required.</w:t>
      </w:r>
    </w:p>
    <w:p>
      <w:pPr>
        <w:pStyle w:val="ListNumber"/>
        <w:spacing w:after="40"/>
      </w:pPr>
      <w:r>
        <w:t>Workflow creates room booking and AV/catering tasks.</w:t>
      </w:r>
    </w:p>
    <w:p>
      <w:pPr>
        <w:pStyle w:val="ListNumber"/>
        <w:spacing w:after="40"/>
      </w:pPr>
      <w:r>
        <w:t>Notifications go to employee, facilities/catering/AV as required.</w:t>
      </w:r>
    </w:p>
    <w:p>
      <w:pPr>
        <w:pStyle w:val="ListNumber"/>
        <w:spacing w:after="40"/>
      </w:pPr>
      <w:r>
        <w:t>QR/check-in confirms actual room use.</w:t>
      </w:r>
    </w:p>
    <w:p>
      <w:pPr>
        <w:pStyle w:val="ListNumber"/>
        <w:spacing w:after="40"/>
      </w:pPr>
      <w:r>
        <w:t>No-show logic can release the room.</w:t>
      </w:r>
    </w:p>
    <w:p>
      <w:pPr>
        <w:pStyle w:val="ListNumber"/>
        <w:spacing w:after="40"/>
      </w:pPr>
      <w:r>
        <w:t>Completion and exceptions are recorded.</w:t>
      </w:r>
    </w:p>
    <w:p>
      <w:pPr>
        <w:pStyle w:val="ListNumber"/>
        <w:spacing w:after="40"/>
      </w:pPr>
      <w:r>
        <w:t>Outcome Engine verifies objective completion.</w:t>
      </w:r>
    </w:p>
    <w:p>
      <w:pPr>
        <w:pStyle w:val="ListNumber"/>
        <w:spacing w:after="40"/>
      </w:pPr>
      <w:r>
        <w:t>Analytics update utilization, no-show and service data.</w:t>
      </w:r>
    </w:p>
    <w:p>
      <w:pPr>
        <w:pStyle w:val="Heading1"/>
      </w:pPr>
      <w:r>
        <w:t>15. Other Orchestra Scenarios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Scenario</w:t>
            </w:r>
          </w:p>
        </w:tc>
        <w:tc>
          <w:tcPr>
            <w:tcW w:type="dxa" w:w="5112"/>
            <w:shd w:fill="D9EAF7"/>
          </w:tcPr>
          <w:p>
            <w:r>
              <w:rPr>
                <w:b/>
                <w:sz w:val="17"/>
              </w:rPr>
              <w:t>Orchestrated flow</w:t>
            </w:r>
          </w:p>
        </w:tc>
      </w:tr>
      <w:tr>
        <w:tc>
          <w:tcPr>
            <w:tcW w:type="dxa" w:w="5112"/>
            <w:vAlign w:val="center"/>
          </w:tcPr>
          <w:p>
            <w:r>
              <w:rPr>
                <w:sz w:val="17"/>
              </w:rPr>
              <w:t>AC breakdown</w:t>
            </w:r>
          </w:p>
        </w:tc>
        <w:tc>
          <w:tcPr>
            <w:tcW w:type="dxa" w:w="5112"/>
            <w:vAlign w:val="center"/>
          </w:tcPr>
          <w:p>
            <w:r>
              <w:rPr>
                <w:sz w:val="17"/>
              </w:rPr>
              <w:t>QR → asset/branch → AMC/SLA → work order → vendor → evidence → repair/replace → acknowledgement → invoice → closure.</w:t>
            </w:r>
          </w:p>
        </w:tc>
      </w:tr>
      <w:tr>
        <w:tc>
          <w:tcPr>
            <w:tcW w:type="dxa" w:w="5112"/>
            <w:vAlign w:val="center"/>
          </w:tcPr>
          <w:p>
            <w:r>
              <w:rPr>
                <w:sz w:val="17"/>
              </w:rPr>
              <w:t>Stationery</w:t>
            </w:r>
          </w:p>
        </w:tc>
        <w:tc>
          <w:tcPr>
            <w:tcW w:type="dxa" w:w="5112"/>
            <w:vAlign w:val="center"/>
          </w:tcPr>
          <w:p>
            <w:r>
              <w:rPr>
                <w:sz w:val="17"/>
              </w:rPr>
              <w:t>Request → entitlement → stock → budget → approved vendor → approval → PO/requisition → delivery → receipt → replenishment.</w:t>
            </w:r>
          </w:p>
        </w:tc>
      </w:tr>
      <w:tr>
        <w:tc>
          <w:tcPr>
            <w:tcW w:type="dxa" w:w="5112"/>
            <w:vAlign w:val="center"/>
          </w:tcPr>
          <w:p>
            <w:r>
              <w:rPr>
                <w:sz w:val="17"/>
              </w:rPr>
              <w:t>New employee</w:t>
            </w:r>
          </w:p>
        </w:tc>
        <w:tc>
          <w:tcPr>
            <w:tcW w:type="dxa" w:w="5112"/>
            <w:vAlign w:val="center"/>
          </w:tcPr>
          <w:p>
            <w:r>
              <w:rPr>
                <w:sz w:val="17"/>
              </w:rPr>
              <w:t>HR event → branch/seat → laptop → access card → locker → welcome → dependencies → day-1 verification.</w:t>
            </w:r>
          </w:p>
        </w:tc>
      </w:tr>
      <w:tr>
        <w:tc>
          <w:tcPr>
            <w:tcW w:type="dxa" w:w="5112"/>
            <w:vAlign w:val="center"/>
          </w:tcPr>
          <w:p>
            <w:r>
              <w:rPr>
                <w:sz w:val="17"/>
              </w:rPr>
              <w:t>Compliance expiry</w:t>
            </w:r>
          </w:p>
        </w:tc>
        <w:tc>
          <w:tcPr>
            <w:tcW w:type="dxa" w:w="5112"/>
            <w:vAlign w:val="center"/>
          </w:tcPr>
          <w:p>
            <w:r>
              <w:rPr>
                <w:sz w:val="17"/>
              </w:rPr>
              <w:t>Expiry → owner/vendor → inspection/document → corrective action → evidence → approval → renewal → record.</w:t>
            </w:r>
          </w:p>
        </w:tc>
      </w:tr>
      <w:tr>
        <w:tc>
          <w:tcPr>
            <w:tcW w:type="dxa" w:w="5112"/>
            <w:vAlign w:val="center"/>
          </w:tcPr>
          <w:p>
            <w:r>
              <w:rPr>
                <w:sz w:val="17"/>
              </w:rPr>
              <w:t>Vendor invoice</w:t>
            </w:r>
          </w:p>
        </w:tc>
        <w:tc>
          <w:tcPr>
            <w:tcW w:type="dxa" w:w="5112"/>
            <w:vAlign w:val="center"/>
          </w:tcPr>
          <w:p>
            <w:r>
              <w:rPr>
                <w:sz w:val="17"/>
              </w:rPr>
              <w:t>Invoice → contract/PO → rate check → service/GRN evidence → match → exception/approval → finance → audit.</w:t>
            </w:r>
          </w:p>
        </w:tc>
      </w:tr>
    </w:tbl>
    <w:p/>
    <w:p>
      <w:pPr>
        <w:pStyle w:val="Heading1"/>
      </w:pPr>
      <w:r>
        <w:t>16. Recommended Technical Architecture Layers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Layer</w:t>
            </w:r>
          </w:p>
        </w:tc>
        <w:tc>
          <w:tcPr>
            <w:tcW w:type="dxa" w:w="5112"/>
            <w:shd w:fill="D9EAF7"/>
          </w:tcPr>
          <w:p>
            <w:r>
              <w:rPr>
                <w:b/>
                <w:sz w:val="17"/>
              </w:rPr>
              <w:t>Responsibility</w:t>
            </w:r>
          </w:p>
        </w:tc>
      </w:tr>
      <w:tr>
        <w:tc>
          <w:tcPr>
            <w:tcW w:type="dxa" w:w="5112"/>
            <w:vAlign w:val="center"/>
          </w:tcPr>
          <w:p>
            <w:r>
              <w:rPr>
                <w:sz w:val="17"/>
              </w:rPr>
              <w:t>Experience</w:t>
            </w:r>
          </w:p>
        </w:tc>
        <w:tc>
          <w:tcPr>
            <w:tcW w:type="dxa" w:w="5112"/>
            <w:vAlign w:val="center"/>
          </w:tcPr>
          <w:p>
            <w:r>
              <w:rPr>
                <w:sz w:val="17"/>
              </w:rPr>
              <w:t>Web, mobile, WhatsApp, Teams, email, QR/NFC.</w:t>
            </w:r>
          </w:p>
        </w:tc>
      </w:tr>
      <w:tr>
        <w:tc>
          <w:tcPr>
            <w:tcW w:type="dxa" w:w="5112"/>
            <w:vAlign w:val="center"/>
          </w:tcPr>
          <w:p>
            <w:r>
              <w:rPr>
                <w:sz w:val="17"/>
              </w:rPr>
              <w:t>AI Interaction</w:t>
            </w:r>
          </w:p>
        </w:tc>
        <w:tc>
          <w:tcPr>
            <w:tcW w:type="dxa" w:w="5112"/>
            <w:vAlign w:val="center"/>
          </w:tcPr>
          <w:p>
            <w:r>
              <w:rPr>
                <w:sz w:val="17"/>
              </w:rPr>
              <w:t>Intent, conversation, RAG, planning, extraction and recommendations.</w:t>
            </w:r>
          </w:p>
        </w:tc>
      </w:tr>
      <w:tr>
        <w:tc>
          <w:tcPr>
            <w:tcW w:type="dxa" w:w="5112"/>
            <w:vAlign w:val="center"/>
          </w:tcPr>
          <w:p>
            <w:r>
              <w:rPr>
                <w:sz w:val="17"/>
              </w:rPr>
              <w:t>Orchestra</w:t>
            </w:r>
          </w:p>
        </w:tc>
        <w:tc>
          <w:tcPr>
            <w:tcW w:type="dxa" w:w="5112"/>
            <w:vAlign w:val="center"/>
          </w:tcPr>
          <w:p>
            <w:r>
              <w:rPr>
                <w:sz w:val="17"/>
              </w:rPr>
              <w:t>Objective, context, workflow, event, SLA, notification, evidence and outcome.</w:t>
            </w:r>
          </w:p>
        </w:tc>
      </w:tr>
      <w:tr>
        <w:tc>
          <w:tcPr>
            <w:tcW w:type="dxa" w:w="5112"/>
            <w:vAlign w:val="center"/>
          </w:tcPr>
          <w:p>
            <w:r>
              <w:rPr>
                <w:sz w:val="17"/>
              </w:rPr>
              <w:t>Business Engines</w:t>
            </w:r>
          </w:p>
        </w:tc>
        <w:tc>
          <w:tcPr>
            <w:tcW w:type="dxa" w:w="5112"/>
            <w:vAlign w:val="center"/>
          </w:tcPr>
          <w:p>
            <w:r>
              <w:rPr>
                <w:sz w:val="17"/>
              </w:rPr>
              <w:t>Policy, approval, procurement, asset, vendor, inventory, compliance and facilities.</w:t>
            </w:r>
          </w:p>
        </w:tc>
      </w:tr>
      <w:tr>
        <w:tc>
          <w:tcPr>
            <w:tcW w:type="dxa" w:w="5112"/>
            <w:vAlign w:val="center"/>
          </w:tcPr>
          <w:p>
            <w:r>
              <w:rPr>
                <w:sz w:val="17"/>
              </w:rPr>
              <w:t>Master Data</w:t>
            </w:r>
          </w:p>
        </w:tc>
        <w:tc>
          <w:tcPr>
            <w:tcW w:type="dxa" w:w="5112"/>
            <w:vAlign w:val="center"/>
          </w:tcPr>
          <w:p>
            <w:r>
              <w:rPr>
                <w:sz w:val="17"/>
              </w:rPr>
              <w:t>People, organization, location, asset, vendor, service, supply and contract.</w:t>
            </w:r>
          </w:p>
        </w:tc>
      </w:tr>
      <w:tr>
        <w:tc>
          <w:tcPr>
            <w:tcW w:type="dxa" w:w="5112"/>
            <w:vAlign w:val="center"/>
          </w:tcPr>
          <w:p>
            <w:r>
              <w:rPr>
                <w:sz w:val="17"/>
              </w:rPr>
              <w:t>Transaction/Data</w:t>
            </w:r>
          </w:p>
        </w:tc>
        <w:tc>
          <w:tcPr>
            <w:tcW w:type="dxa" w:w="5112"/>
            <w:vAlign w:val="center"/>
          </w:tcPr>
          <w:p>
            <w:r>
              <w:rPr>
                <w:sz w:val="17"/>
              </w:rPr>
              <w:t>Cases, work orders, POs, GRNs, invoices, approvals, incidents and evidence.</w:t>
            </w:r>
          </w:p>
        </w:tc>
      </w:tr>
      <w:tr>
        <w:tc>
          <w:tcPr>
            <w:tcW w:type="dxa" w:w="5112"/>
            <w:vAlign w:val="center"/>
          </w:tcPr>
          <w:p>
            <w:r>
              <w:rPr>
                <w:sz w:val="17"/>
              </w:rPr>
              <w:t>Integration</w:t>
            </w:r>
          </w:p>
        </w:tc>
        <w:tc>
          <w:tcPr>
            <w:tcW w:type="dxa" w:w="5112"/>
            <w:vAlign w:val="center"/>
          </w:tcPr>
          <w:p>
            <w:r>
              <w:rPr>
                <w:sz w:val="17"/>
              </w:rPr>
              <w:t>HRMS, ERP, identity, calendar, messaging, finance and external systems.</w:t>
            </w:r>
          </w:p>
        </w:tc>
      </w:tr>
      <w:tr>
        <w:tc>
          <w:tcPr>
            <w:tcW w:type="dxa" w:w="5112"/>
            <w:vAlign w:val="center"/>
          </w:tcPr>
          <w:p>
            <w:r>
              <w:rPr>
                <w:sz w:val="17"/>
              </w:rPr>
              <w:t>Security</w:t>
            </w:r>
          </w:p>
        </w:tc>
        <w:tc>
          <w:tcPr>
            <w:tcW w:type="dxa" w:w="5112"/>
            <w:vAlign w:val="center"/>
          </w:tcPr>
          <w:p>
            <w:r>
              <w:rPr>
                <w:sz w:val="17"/>
              </w:rPr>
              <w:t>Identity, authorization, tenant isolation, audit, encryption and monitoring.</w:t>
            </w:r>
          </w:p>
        </w:tc>
      </w:tr>
      <w:tr>
        <w:tc>
          <w:tcPr>
            <w:tcW w:type="dxa" w:w="5112"/>
            <w:vAlign w:val="center"/>
          </w:tcPr>
          <w:p>
            <w:r>
              <w:rPr>
                <w:sz w:val="17"/>
              </w:rPr>
              <w:t>Analytics</w:t>
            </w:r>
          </w:p>
        </w:tc>
        <w:tc>
          <w:tcPr>
            <w:tcW w:type="dxa" w:w="5112"/>
            <w:vAlign w:val="center"/>
          </w:tcPr>
          <w:p>
            <w:r>
              <w:rPr>
                <w:sz w:val="17"/>
              </w:rPr>
              <w:t>Operational data, KPIs, benchmarking, BI and intelligence.</w:t>
            </w:r>
          </w:p>
        </w:tc>
      </w:tr>
    </w:tbl>
    <w:p/>
    <w:p>
      <w:pPr>
        <w:pStyle w:val="Heading1"/>
      </w:pPr>
      <w:r>
        <w:t>17. Developer Non-Negotiables</w:t>
      </w:r>
    </w:p>
    <w:p>
      <w:pPr>
        <w:pStyle w:val="ListBullet"/>
        <w:spacing w:after="40"/>
      </w:pPr>
      <w:r>
        <w:t>Build the Orchestra and reusable engines first; do not create isolated module-specific copies of them.</w:t>
      </w:r>
    </w:p>
    <w:p>
      <w:pPr>
        <w:pStyle w:val="ListBullet"/>
        <w:spacing w:after="40"/>
      </w:pPr>
      <w:r>
        <w:t>Do not duplicate approval logic inside individual modules.</w:t>
      </w:r>
    </w:p>
    <w:p>
      <w:pPr>
        <w:pStyle w:val="ListBullet"/>
        <w:spacing w:after="40"/>
      </w:pPr>
      <w:r>
        <w:t>Do not duplicate SLA logic inside individual modules.</w:t>
      </w:r>
    </w:p>
    <w:p>
      <w:pPr>
        <w:pStyle w:val="ListBullet"/>
        <w:spacing w:after="40"/>
      </w:pPr>
      <w:r>
        <w:t>Do not allow AI to be the transactional source of truth.</w:t>
      </w:r>
    </w:p>
    <w:p>
      <w:pPr>
        <w:pStyle w:val="ListBullet"/>
        <w:spacing w:after="40"/>
      </w:pPr>
      <w:r>
        <w:t>Every material action must be auditable.</w:t>
      </w:r>
    </w:p>
    <w:p>
      <w:pPr>
        <w:pStyle w:val="ListBullet"/>
        <w:spacing w:after="40"/>
      </w:pPr>
      <w:r>
        <w:t>Every workflow has explicit state and outcome criteria.</w:t>
      </w:r>
    </w:p>
    <w:p>
      <w:pPr>
        <w:pStyle w:val="ListBullet"/>
        <w:spacing w:after="40"/>
      </w:pPr>
      <w:r>
        <w:t>Every tenant-scoped record enforces tenant authorization.</w:t>
      </w:r>
    </w:p>
    <w:p>
      <w:pPr>
        <w:pStyle w:val="ListBullet"/>
        <w:spacing w:after="40"/>
      </w:pPr>
      <w:r>
        <w:t>External integrations are authenticated, validated and auditable.</w:t>
      </w:r>
    </w:p>
    <w:p>
      <w:pPr>
        <w:pStyle w:val="ListBullet"/>
        <w:spacing w:after="40"/>
      </w:pPr>
      <w:r>
        <w:t>Business rules are configurable wherever practical.</w:t>
      </w:r>
    </w:p>
    <w:p>
      <w:pPr>
        <w:pStyle w:val="ListBullet"/>
        <w:spacing w:after="40"/>
      </w:pPr>
      <w:r>
        <w:t>Workflow versions are preserved for historical execution.</w:t>
      </w:r>
    </w:p>
    <w:p>
      <w:pPr>
        <w:pStyle w:val="ListBullet"/>
        <w:spacing w:after="40"/>
      </w:pPr>
      <w:r>
        <w:t>Human approvals remain available for controlled/high-risk actions.</w:t>
      </w:r>
    </w:p>
    <w:p>
      <w:pPr>
        <w:pStyle w:val="ListBullet"/>
        <w:spacing w:after="40"/>
      </w:pPr>
      <w:r>
        <w:t>Evidence requirements are configurable by service/workflow.</w:t>
      </w:r>
    </w:p>
    <w:p>
      <w:pPr>
        <w:pStyle w:val="ListBullet"/>
        <w:spacing w:after="40"/>
      </w:pPr>
      <w:r>
        <w:t>APIs use canonical entities/events.</w:t>
      </w:r>
    </w:p>
    <w:p>
      <w:pPr>
        <w:pStyle w:val="Heading1"/>
      </w:pPr>
      <w:r>
        <w:t>18. Suggested Development Sequence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Phase</w:t>
            </w:r>
          </w:p>
        </w:tc>
        <w:tc>
          <w:tcPr>
            <w:tcW w:type="dxa" w:w="5112"/>
            <w:shd w:fill="D9EAF7"/>
          </w:tcPr>
          <w:p>
            <w:r>
              <w:rPr>
                <w:b/>
                <w:sz w:val="17"/>
              </w:rPr>
              <w:t>Primary scope</w:t>
            </w:r>
          </w:p>
        </w:tc>
      </w:tr>
      <w:tr>
        <w:tc>
          <w:tcPr>
            <w:tcW w:type="dxa" w:w="5112"/>
            <w:vAlign w:val="center"/>
          </w:tcPr>
          <w:p>
            <w:r>
              <w:rPr>
                <w:sz w:val="17"/>
              </w:rPr>
              <w:t>1 — Foundation</w:t>
            </w:r>
          </w:p>
        </w:tc>
        <w:tc>
          <w:tcPr>
            <w:tcW w:type="dxa" w:w="5112"/>
            <w:vAlign w:val="center"/>
          </w:tcPr>
          <w:p>
            <w:r>
              <w:rPr>
                <w:sz w:val="17"/>
              </w:rPr>
              <w:t>Tenant model, identity, organization, people, locations, RBAC, security, audit and master data.</w:t>
            </w:r>
          </w:p>
        </w:tc>
      </w:tr>
      <w:tr>
        <w:tc>
          <w:tcPr>
            <w:tcW w:type="dxa" w:w="5112"/>
            <w:vAlign w:val="center"/>
          </w:tcPr>
          <w:p>
            <w:r>
              <w:rPr>
                <w:sz w:val="17"/>
              </w:rPr>
              <w:t>2 — Control Engines</w:t>
            </w:r>
          </w:p>
        </w:tc>
        <w:tc>
          <w:tcPr>
            <w:tcW w:type="dxa" w:w="5112"/>
            <w:vAlign w:val="center"/>
          </w:tcPr>
          <w:p>
            <w:r>
              <w:rPr>
                <w:sz w:val="17"/>
              </w:rPr>
              <w:t>Policy, approval authority, workflow, event, SLA, notification and evidence engines.</w:t>
            </w:r>
          </w:p>
        </w:tc>
      </w:tr>
      <w:tr>
        <w:tc>
          <w:tcPr>
            <w:tcW w:type="dxa" w:w="5112"/>
            <w:vAlign w:val="center"/>
          </w:tcPr>
          <w:p>
            <w:r>
              <w:rPr>
                <w:sz w:val="17"/>
              </w:rPr>
              <w:t>3 — Core Operations</w:t>
            </w:r>
          </w:p>
        </w:tc>
        <w:tc>
          <w:tcPr>
            <w:tcW w:type="dxa" w:w="5112"/>
            <w:vAlign w:val="center"/>
          </w:tcPr>
          <w:p>
            <w:r>
              <w:rPr>
                <w:sz w:val="17"/>
              </w:rPr>
              <w:t>Facilities, asset/AMC, vendors, supplies, procurement, compliance and workplace.</w:t>
            </w:r>
          </w:p>
        </w:tc>
      </w:tr>
      <w:tr>
        <w:tc>
          <w:tcPr>
            <w:tcW w:type="dxa" w:w="5112"/>
            <w:vAlign w:val="center"/>
          </w:tcPr>
          <w:p>
            <w:r>
              <w:rPr>
                <w:sz w:val="17"/>
              </w:rPr>
              <w:t>4 — Channels</w:t>
            </w:r>
          </w:p>
        </w:tc>
        <w:tc>
          <w:tcPr>
            <w:tcW w:type="dxa" w:w="5112"/>
            <w:vAlign w:val="center"/>
          </w:tcPr>
          <w:p>
            <w:r>
              <w:rPr>
                <w:sz w:val="17"/>
              </w:rPr>
              <w:t>Web, QR/NFC, WhatsApp/Teams, email-native workflows and field mobile.</w:t>
            </w:r>
          </w:p>
        </w:tc>
      </w:tr>
      <w:tr>
        <w:tc>
          <w:tcPr>
            <w:tcW w:type="dxa" w:w="5112"/>
            <w:vAlign w:val="center"/>
          </w:tcPr>
          <w:p>
            <w:r>
              <w:rPr>
                <w:sz w:val="17"/>
              </w:rPr>
              <w:t>5 — Financial Control</w:t>
            </w:r>
          </w:p>
        </w:tc>
        <w:tc>
          <w:tcPr>
            <w:tcW w:type="dxa" w:w="5112"/>
            <w:vAlign w:val="center"/>
          </w:tcPr>
          <w:p>
            <w:r>
              <w:rPr>
                <w:sz w:val="17"/>
              </w:rPr>
              <w:t>Budgets, cost centres, procurement-to-invoice controls and benchmarking.</w:t>
            </w:r>
          </w:p>
        </w:tc>
      </w:tr>
      <w:tr>
        <w:tc>
          <w:tcPr>
            <w:tcW w:type="dxa" w:w="5112"/>
            <w:vAlign w:val="center"/>
          </w:tcPr>
          <w:p>
            <w:r>
              <w:rPr>
                <w:sz w:val="17"/>
              </w:rPr>
              <w:t>6 — Orchestra AI</w:t>
            </w:r>
          </w:p>
        </w:tc>
        <w:tc>
          <w:tcPr>
            <w:tcW w:type="dxa" w:w="5112"/>
            <w:vAlign w:val="center"/>
          </w:tcPr>
          <w:p>
            <w:r>
              <w:rPr>
                <w:sz w:val="17"/>
              </w:rPr>
              <w:t>Intent, context, planning, RAG, anomaly detection and AI procurement/vendor intelligence.</w:t>
            </w:r>
          </w:p>
        </w:tc>
      </w:tr>
      <w:tr>
        <w:tc>
          <w:tcPr>
            <w:tcW w:type="dxa" w:w="5112"/>
            <w:vAlign w:val="center"/>
          </w:tcPr>
          <w:p>
            <w:r>
              <w:rPr>
                <w:sz w:val="17"/>
              </w:rPr>
              <w:t>7 — Enterprise Scale</w:t>
            </w:r>
          </w:p>
        </w:tc>
        <w:tc>
          <w:tcPr>
            <w:tcW w:type="dxa" w:w="5112"/>
            <w:vAlign w:val="center"/>
          </w:tcPr>
          <w:p>
            <w:r>
              <w:rPr>
                <w:sz w:val="17"/>
              </w:rPr>
              <w:t>HRMS/ERP integrations, advanced security, DR, analytics and industry packs.</w:t>
            </w:r>
          </w:p>
        </w:tc>
      </w:tr>
    </w:tbl>
    <w:p/>
    <w:p>
      <w:pPr>
        <w:pStyle w:val="Heading1"/>
      </w:pPr>
      <w:r>
        <w:t>19. Developer Acceptance Criteria</w:t>
      </w:r>
    </w:p>
    <w:p>
      <w:pPr>
        <w:pStyle w:val="ListBullet"/>
        <w:spacing w:after="40"/>
      </w:pPr>
      <w:r>
        <w:t>A request can become an objective with an owner and measurable outcome.</w:t>
      </w:r>
    </w:p>
    <w:p>
      <w:pPr>
        <w:pStyle w:val="ListBullet"/>
        <w:spacing w:after="40"/>
      </w:pPr>
      <w:r>
        <w:t>Known employee/location/policy/history context is reused without unnecessary questions.</w:t>
      </w:r>
    </w:p>
    <w:p>
      <w:pPr>
        <w:pStyle w:val="ListBullet"/>
        <w:spacing w:after="40"/>
      </w:pPr>
      <w:r>
        <w:t>Policy and approval decisions are deterministic and auditable.</w:t>
      </w:r>
    </w:p>
    <w:p>
      <w:pPr>
        <w:pStyle w:val="ListBullet"/>
        <w:spacing w:after="40"/>
      </w:pPr>
      <w:r>
        <w:t>A workflow can coordinate multiple modules and external participants.</w:t>
      </w:r>
    </w:p>
    <w:p>
      <w:pPr>
        <w:pStyle w:val="ListBullet"/>
        <w:spacing w:after="40"/>
      </w:pPr>
      <w:r>
        <w:t>SLA and escalation work independently of originating channel.</w:t>
      </w:r>
    </w:p>
    <w:p>
      <w:pPr>
        <w:pStyle w:val="ListBullet"/>
        <w:spacing w:after="40"/>
      </w:pPr>
      <w:r>
        <w:t>Evidence can be required before closure.</w:t>
      </w:r>
    </w:p>
    <w:p>
      <w:pPr>
        <w:pStyle w:val="ListBullet"/>
        <w:spacing w:after="40"/>
      </w:pPr>
      <w:r>
        <w:t>Outcome verification is distinct from task completion.</w:t>
      </w:r>
    </w:p>
    <w:p>
      <w:pPr>
        <w:pStyle w:val="ListBullet"/>
        <w:spacing w:after="40"/>
      </w:pPr>
      <w:r>
        <w:t>Management answers come from governed data, not unsupported AI guesses.</w:t>
      </w:r>
    </w:p>
    <w:p>
      <w:pPr>
        <w:pStyle w:val="ListBullet"/>
        <w:spacing w:after="40"/>
      </w:pPr>
      <w:r>
        <w:t>Tenant and role authorization is enforced at data/API layers.</w:t>
      </w:r>
    </w:p>
    <w:p>
      <w:pPr>
        <w:pStyle w:val="ListBullet"/>
        <w:spacing w:after="40"/>
      </w:pPr>
      <w:r>
        <w:t>Material state changes are auditable.</w:t>
      </w:r>
    </w:p>
    <w:p>
      <w:pPr>
        <w:pStyle w:val="ListBullet"/>
        <w:spacing w:after="40"/>
      </w:pPr>
      <w:r>
        <w:t>One approval engine supports multiple functions.</w:t>
      </w:r>
    </w:p>
    <w:p>
      <w:pPr>
        <w:pStyle w:val="ListBullet"/>
        <w:spacing w:after="40"/>
      </w:pPr>
      <w:r>
        <w:t>One workflow/orchestration engine supports multiple domains.</w:t>
      </w:r>
    </w:p>
    <w:p>
      <w:pPr>
        <w:pStyle w:val="ListBullet"/>
        <w:spacing w:after="40"/>
      </w:pPr>
      <w:r>
        <w:t>New modules reuse policy, workflow, SLA, evidence and notification engines.</w:t>
      </w:r>
    </w:p>
    <w:p>
      <w:pPr>
        <w:pStyle w:val="Heading1"/>
      </w:pPr>
      <w:r>
        <w:t>20. Core Terminology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Term</w:t>
            </w:r>
          </w:p>
        </w:tc>
        <w:tc>
          <w:tcPr>
            <w:tcW w:type="dxa" w:w="5112"/>
            <w:shd w:fill="D9EAF7"/>
          </w:tcPr>
          <w:p>
            <w:r>
              <w:rPr>
                <w:b/>
                <w:sz w:val="17"/>
              </w:rPr>
              <w:t>Definition</w:t>
            </w:r>
          </w:p>
        </w:tc>
      </w:tr>
      <w:tr>
        <w:tc>
          <w:tcPr>
            <w:tcW w:type="dxa" w:w="5112"/>
            <w:vAlign w:val="center"/>
          </w:tcPr>
          <w:p>
            <w:r>
              <w:rPr>
                <w:sz w:val="17"/>
              </w:rPr>
              <w:t>Objective</w:t>
            </w:r>
          </w:p>
        </w:tc>
        <w:tc>
          <w:tcPr>
            <w:tcW w:type="dxa" w:w="5112"/>
            <w:vAlign w:val="center"/>
          </w:tcPr>
          <w:p>
            <w:r>
              <w:rPr>
                <w:sz w:val="17"/>
              </w:rPr>
              <w:t>Business outcome the user/company wants achieved.</w:t>
            </w:r>
          </w:p>
        </w:tc>
      </w:tr>
      <w:tr>
        <w:tc>
          <w:tcPr>
            <w:tcW w:type="dxa" w:w="5112"/>
            <w:vAlign w:val="center"/>
          </w:tcPr>
          <w:p>
            <w:r>
              <w:rPr>
                <w:sz w:val="17"/>
              </w:rPr>
              <w:t>Event</w:t>
            </w:r>
          </w:p>
        </w:tc>
        <w:tc>
          <w:tcPr>
            <w:tcW w:type="dxa" w:w="5112"/>
            <w:vAlign w:val="center"/>
          </w:tcPr>
          <w:p>
            <w:r>
              <w:rPr>
                <w:sz w:val="17"/>
              </w:rPr>
              <w:t>Meaningful change or trigger that starts/modifies work.</w:t>
            </w:r>
          </w:p>
        </w:tc>
      </w:tr>
      <w:tr>
        <w:tc>
          <w:tcPr>
            <w:tcW w:type="dxa" w:w="5112"/>
            <w:vAlign w:val="center"/>
          </w:tcPr>
          <w:p>
            <w:r>
              <w:rPr>
                <w:sz w:val="17"/>
              </w:rPr>
              <w:t>Orchestra</w:t>
            </w:r>
          </w:p>
        </w:tc>
        <w:tc>
          <w:tcPr>
            <w:tcW w:type="dxa" w:w="5112"/>
            <w:vAlign w:val="center"/>
          </w:tcPr>
          <w:p>
            <w:r>
              <w:rPr>
                <w:sz w:val="17"/>
              </w:rPr>
              <w:t>Central coordination layer connecting objectives, context, policies, workflows, people, modules and systems.</w:t>
            </w:r>
          </w:p>
        </w:tc>
      </w:tr>
      <w:tr>
        <w:tc>
          <w:tcPr>
            <w:tcW w:type="dxa" w:w="5112"/>
            <w:vAlign w:val="center"/>
          </w:tcPr>
          <w:p>
            <w:r>
              <w:rPr>
                <w:sz w:val="17"/>
              </w:rPr>
              <w:t>Module</w:t>
            </w:r>
          </w:p>
        </w:tc>
        <w:tc>
          <w:tcPr>
            <w:tcW w:type="dxa" w:w="5112"/>
            <w:vAlign w:val="center"/>
          </w:tcPr>
          <w:p>
            <w:r>
              <w:rPr>
                <w:sz w:val="17"/>
              </w:rPr>
              <w:t>Specialised business capability such as procurement, assets or facilities.</w:t>
            </w:r>
          </w:p>
        </w:tc>
      </w:tr>
      <w:tr>
        <w:tc>
          <w:tcPr>
            <w:tcW w:type="dxa" w:w="5112"/>
            <w:vAlign w:val="center"/>
          </w:tcPr>
          <w:p>
            <w:r>
              <w:rPr>
                <w:sz w:val="17"/>
              </w:rPr>
              <w:t>Policy</w:t>
            </w:r>
          </w:p>
        </w:tc>
        <w:tc>
          <w:tcPr>
            <w:tcW w:type="dxa" w:w="5112"/>
            <w:vAlign w:val="center"/>
          </w:tcPr>
          <w:p>
            <w:r>
              <w:rPr>
                <w:sz w:val="17"/>
              </w:rPr>
              <w:t>Rule defining what is permitted, required or restricted.</w:t>
            </w:r>
          </w:p>
        </w:tc>
      </w:tr>
      <w:tr>
        <w:tc>
          <w:tcPr>
            <w:tcW w:type="dxa" w:w="5112"/>
            <w:vAlign w:val="center"/>
          </w:tcPr>
          <w:p>
            <w:r>
              <w:rPr>
                <w:sz w:val="17"/>
              </w:rPr>
              <w:t>Authority</w:t>
            </w:r>
          </w:p>
        </w:tc>
        <w:tc>
          <w:tcPr>
            <w:tcW w:type="dxa" w:w="5112"/>
            <w:vAlign w:val="center"/>
          </w:tcPr>
          <w:p>
            <w:r>
              <w:rPr>
                <w:sz w:val="17"/>
              </w:rPr>
              <w:t>Person/role permitted to approve, decide or override.</w:t>
            </w:r>
          </w:p>
        </w:tc>
      </w:tr>
      <w:tr>
        <w:tc>
          <w:tcPr>
            <w:tcW w:type="dxa" w:w="5112"/>
            <w:vAlign w:val="center"/>
          </w:tcPr>
          <w:p>
            <w:r>
              <w:rPr>
                <w:sz w:val="17"/>
              </w:rPr>
              <w:t>Workflow</w:t>
            </w:r>
          </w:p>
        </w:tc>
        <w:tc>
          <w:tcPr>
            <w:tcW w:type="dxa" w:w="5112"/>
            <w:vAlign w:val="center"/>
          </w:tcPr>
          <w:p>
            <w:r>
              <w:rPr>
                <w:sz w:val="17"/>
              </w:rPr>
              <w:t>Executable sequence of coordinated tasks and decisions.</w:t>
            </w:r>
          </w:p>
        </w:tc>
      </w:tr>
      <w:tr>
        <w:tc>
          <w:tcPr>
            <w:tcW w:type="dxa" w:w="5112"/>
            <w:vAlign w:val="center"/>
          </w:tcPr>
          <w:p>
            <w:r>
              <w:rPr>
                <w:sz w:val="17"/>
              </w:rPr>
              <w:t>SLA</w:t>
            </w:r>
          </w:p>
        </w:tc>
        <w:tc>
          <w:tcPr>
            <w:tcW w:type="dxa" w:w="5112"/>
            <w:vAlign w:val="center"/>
          </w:tcPr>
          <w:p>
            <w:r>
              <w:rPr>
                <w:sz w:val="17"/>
              </w:rPr>
              <w:t>Time commitment for response, resolution or approval.</w:t>
            </w:r>
          </w:p>
        </w:tc>
      </w:tr>
      <w:tr>
        <w:tc>
          <w:tcPr>
            <w:tcW w:type="dxa" w:w="5112"/>
            <w:vAlign w:val="center"/>
          </w:tcPr>
          <w:p>
            <w:r>
              <w:rPr>
                <w:sz w:val="17"/>
              </w:rPr>
              <w:t>Evidence</w:t>
            </w:r>
          </w:p>
        </w:tc>
        <w:tc>
          <w:tcPr>
            <w:tcW w:type="dxa" w:w="5112"/>
            <w:vAlign w:val="center"/>
          </w:tcPr>
          <w:p>
            <w:r>
              <w:rPr>
                <w:sz w:val="17"/>
              </w:rPr>
              <w:t>Proof that an action/outcome occurred.</w:t>
            </w:r>
          </w:p>
        </w:tc>
      </w:tr>
      <w:tr>
        <w:tc>
          <w:tcPr>
            <w:tcW w:type="dxa" w:w="5112"/>
            <w:vAlign w:val="center"/>
          </w:tcPr>
          <w:p>
            <w:r>
              <w:rPr>
                <w:sz w:val="17"/>
              </w:rPr>
              <w:t>Outcome</w:t>
            </w:r>
          </w:p>
        </w:tc>
        <w:tc>
          <w:tcPr>
            <w:tcW w:type="dxa" w:w="5112"/>
            <w:vAlign w:val="center"/>
          </w:tcPr>
          <w:p>
            <w:r>
              <w:rPr>
                <w:sz w:val="17"/>
              </w:rPr>
              <w:t>Verified result of an objective, not merely task completion.</w:t>
            </w:r>
          </w:p>
        </w:tc>
      </w:tr>
      <w:tr>
        <w:tc>
          <w:tcPr>
            <w:tcW w:type="dxa" w:w="5112"/>
            <w:vAlign w:val="center"/>
          </w:tcPr>
          <w:p>
            <w:r>
              <w:rPr>
                <w:sz w:val="17"/>
              </w:rPr>
              <w:t>Context</w:t>
            </w:r>
          </w:p>
        </w:tc>
        <w:tc>
          <w:tcPr>
            <w:tcW w:type="dxa" w:w="5112"/>
            <w:vAlign w:val="center"/>
          </w:tcPr>
          <w:p>
            <w:r>
              <w:rPr>
                <w:sz w:val="17"/>
              </w:rPr>
              <w:t>Relevant facts about who, where, what, policy, history, budget and dependencies.</w:t>
            </w:r>
          </w:p>
        </w:tc>
      </w:tr>
    </w:tbl>
    <w:p/>
    <w:p>
      <w:pPr>
        <w:pStyle w:val="Heading1"/>
      </w:pPr>
      <w:r>
        <w:t>21. Alignment With the Supplied Overall Idea</w:t>
      </w:r>
    </w:p>
    <w:p>
      <w:r>
        <w:t>The supplied overall idea establishes the same foundation: people, places, teams/vendors, assets/stock, policies, money and history; proactive administrative areas; one policy engine; data-backed answers; proactive work; morning briefings; WhatsApp/Teams; QR; learning; audit/privacy; and phased implementation. This blueprint preserves those themes and structures them around the established Orchestra architecture.</w:t>
      </w:r>
    </w:p>
    <w:p>
      <w:r>
        <w:t>The supplied document also identifies target-customer scope, HR connectors, finance integration, WhatsApp timing and compliance-calendar scope as decisions for the detailed plan. Those remain configuration/roadmap decisions; they do not change the core Orchestra architecture.</w:t>
      </w:r>
    </w:p>
    <w:p>
      <w:pPr>
        <w:pStyle w:val="Heading1"/>
      </w:pPr>
      <w:r>
        <w:t>22. Immediate Developer Deliverables</w:t>
      </w:r>
    </w:p>
    <w:p>
      <w:pPr>
        <w:pStyle w:val="ListBullet"/>
        <w:spacing w:after="40"/>
      </w:pPr>
      <w:r>
        <w:t>System architecture diagram</w:t>
      </w:r>
    </w:p>
    <w:p>
      <w:pPr>
        <w:pStyle w:val="ListBullet"/>
        <w:spacing w:after="40"/>
      </w:pPr>
      <w:r>
        <w:t>Tenant/security architecture</w:t>
      </w:r>
    </w:p>
    <w:p>
      <w:pPr>
        <w:pStyle w:val="ListBullet"/>
        <w:spacing w:after="40"/>
      </w:pPr>
      <w:r>
        <w:t>Canonical entity model and ERD</w:t>
      </w:r>
    </w:p>
    <w:p>
      <w:pPr>
        <w:pStyle w:val="ListBullet"/>
        <w:spacing w:after="40"/>
      </w:pPr>
      <w:r>
        <w:t>Event catalogue/schema</w:t>
      </w:r>
    </w:p>
    <w:p>
      <w:pPr>
        <w:pStyle w:val="ListBullet"/>
        <w:spacing w:after="40"/>
      </w:pPr>
      <w:r>
        <w:t>Policy engine specification</w:t>
      </w:r>
    </w:p>
    <w:p>
      <w:pPr>
        <w:pStyle w:val="ListBullet"/>
        <w:spacing w:after="40"/>
      </w:pPr>
      <w:r>
        <w:t>Universal approval authority specification</w:t>
      </w:r>
    </w:p>
    <w:p>
      <w:pPr>
        <w:pStyle w:val="ListBullet"/>
        <w:spacing w:after="40"/>
      </w:pPr>
      <w:r>
        <w:t>Workflow definition/state model</w:t>
      </w:r>
    </w:p>
    <w:p>
      <w:pPr>
        <w:pStyle w:val="ListBullet"/>
        <w:spacing w:after="40"/>
      </w:pPr>
      <w:r>
        <w:t>SLA/escalation specification</w:t>
      </w:r>
    </w:p>
    <w:p>
      <w:pPr>
        <w:pStyle w:val="ListBullet"/>
        <w:spacing w:after="40"/>
      </w:pPr>
      <w:r>
        <w:t>Evidence/outcome model</w:t>
      </w:r>
    </w:p>
    <w:p>
      <w:pPr>
        <w:pStyle w:val="ListBullet"/>
        <w:spacing w:after="40"/>
      </w:pPr>
      <w:r>
        <w:t>API and integration contracts</w:t>
      </w:r>
    </w:p>
    <w:p>
      <w:pPr>
        <w:pStyle w:val="ListBullet"/>
        <w:spacing w:after="40"/>
      </w:pPr>
      <w:r>
        <w:t>Role/permission matrix</w:t>
      </w:r>
    </w:p>
    <w:p>
      <w:pPr>
        <w:pStyle w:val="ListBullet"/>
        <w:spacing w:after="40"/>
      </w:pPr>
      <w:r>
        <w:t>Module-level PRDs</w:t>
      </w:r>
    </w:p>
    <w:p>
      <w:pPr>
        <w:pStyle w:val="ListBullet"/>
        <w:spacing w:after="40"/>
      </w:pPr>
      <w:r>
        <w:t>Screen inventory/wireframes</w:t>
      </w:r>
    </w:p>
    <w:p>
      <w:pPr>
        <w:pStyle w:val="ListBullet"/>
        <w:spacing w:after="40"/>
      </w:pPr>
      <w:r>
        <w:t>Database migration strategy</w:t>
      </w:r>
    </w:p>
    <w:p>
      <w:pPr>
        <w:pStyle w:val="ListBullet"/>
        <w:spacing w:after="40"/>
      </w:pPr>
      <w:r>
        <w:t>Threat model/security controls</w:t>
      </w:r>
    </w:p>
    <w:p>
      <w:pPr>
        <w:pStyle w:val="ListBullet"/>
        <w:spacing w:after="40"/>
      </w:pPr>
      <w:r>
        <w:t>Test strategy</w:t>
      </w:r>
    </w:p>
    <w:p>
      <w:pPr>
        <w:pStyle w:val="ListBullet"/>
        <w:spacing w:after="40"/>
      </w:pPr>
      <w:r>
        <w:t>Production readiness checklist</w:t>
      </w:r>
    </w:p>
    <w:p>
      <w:pPr>
        <w:pStyle w:val="Heading2"/>
      </w:pPr>
      <w:r>
        <w:t>Final direction to the development team</w:t>
      </w:r>
    </w:p>
    <w:p>
      <w:r>
        <w:rPr>
          <w:b/>
        </w:rPr>
        <w:t>Build AdminServices as an orchestration platform first and a collection of modules second. The modules provide capabilities; the Orchestra makes those capabilities work together to achieve the enterprise objective.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AdminServices — Developer Master Product &amp; Platform Blueprint | Orchestra Architecture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