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56"/>
        </w:rPr>
      </w:r>
      <w:r>
        <w:rPr>
          <w:rFonts w:ascii="Aptos Display" w:hAnsi="Aptos Display"/>
          <w:b/>
          <w:color w:val="17365D"/>
          <w:sz w:val="52"/>
        </w:rPr>
        <w:t>ENTERPRISE FACILITIES, INFRASTRUCTURE</w:t>
        <w:br/>
        <w:t>&amp; ADMINISTRATION MANAGEMENT</w:t>
      </w:r>
    </w:p>
    <w:p>
      <w:pPr>
        <w:jc w:val="center"/>
      </w:pPr>
      <w:r>
        <w:t>Integrated enterprise blueprint covering every major Facilities, Infrastructure, Workplace and Administration service domain</w:t>
      </w:r>
    </w:p>
    <w:p>
      <w:pPr>
        <w:spacing w:before="600"/>
        <w:jc w:val="center"/>
      </w:pPr>
      <w:r>
        <w:rPr>
          <w:b/>
          <w:sz w:val="24"/>
        </w:rPr>
        <w:t>Designed for a large distributed enterprise</w:t>
      </w:r>
    </w:p>
    <w:p>
      <w:pPr>
        <w:jc w:val="center"/>
      </w:pPr>
      <w:r>
        <w:rPr>
          <w:sz w:val="22"/>
        </w:rPr>
        <w:t>BFSI-scale control model with corporate, zonal, regional and branch offices</w:t>
        <w:br/>
        <w:t>plus technology-campus and employee-experience capabilities</w:t>
      </w:r>
    </w:p>
    <w:tbl>
      <w:tblPr>
        <w:tblW w:type="auto" w:w="0"/>
        <w:jc w:val="center"/>
        <w:tblLook w:firstColumn="1" w:firstRow="1" w:lastColumn="0" w:lastRow="0" w:noHBand="0" w:noVBand="1" w:val="04A0"/>
      </w:tblPr>
      <w:tblGrid>
        <w:gridCol w:w="10224"/>
      </w:tblGrid>
      <w:tr>
        <w:tc>
          <w:tcPr>
            <w:tcW w:type="dxa" w:w="10224"/>
            <w:shd w:fill="EAF2F8"/>
            <w:tcMar>
              <w:top w:w="150" w:type="dxa"/>
              <w:start w:w="180" w:type="dxa"/>
              <w:bottom w:w="150" w:type="dxa"/>
              <w:end w:w="180" w:type="dxa"/>
            </w:tcMar>
          </w:tcPr>
          <w:p>
            <w:r>
              <w:rPr>
                <w:b/>
                <w:color w:val="17365D"/>
                <w:sz w:val="21"/>
              </w:rPr>
              <w:t>Purpose</w:t>
              <w:br/>
            </w:r>
            <w:r>
              <w:rPr>
                <w:color w:val="2D3741"/>
                <w:sz w:val="18"/>
              </w:rPr>
              <w:t>A developer-ready and operating-model-ready specification for organisations managing thousands of locations, large asset bases, multiple service partners, annual maintenance contracts, housekeeping consumables, stationery and other OPEX/CAPEX categories. All values and structures are illustrative and must be configured to the organisation’s policy, chart of accounts and delegation of authority.</w:t>
            </w:r>
          </w:p>
        </w:tc>
      </w:tr>
    </w:tbl>
    <w:p>
      <w:pPr>
        <w:spacing w:after="40"/>
      </w:pPr>
    </w:p>
    <w:p>
      <w:pPr>
        <w:spacing w:before="360"/>
        <w:jc w:val="center"/>
      </w:pPr>
      <w:r>
        <w:rPr>
          <w:sz w:val="19"/>
        </w:rPr>
        <w:t>Prepared for: Kapil Mantri</w:t>
        <w:br/>
        <w:t>Version 1.0 | October 2026</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90" w:type="dxa"/>
              <w:start w:w="100" w:type="dxa"/>
              <w:bottom w:w="90" w:type="dxa"/>
              <w:end w:w="100" w:type="dxa"/>
            </w:tcMar>
          </w:tcPr>
          <w:p>
            <w:pPr>
              <w:jc w:val="center"/>
            </w:pPr>
            <w:r>
              <w:rPr>
                <w:b/>
                <w:color w:val="FFFFFF"/>
                <w:sz w:val="16"/>
              </w:rPr>
              <w:t>Field</w:t>
            </w:r>
          </w:p>
        </w:tc>
        <w:tc>
          <w:tcPr>
            <w:tcW w:type="dxa" w:w="8352"/>
            <w:shd w:fill="17365D"/>
            <w:vAlign w:val="center"/>
            <w:tcMar>
              <w:top w:w="90" w:type="dxa"/>
              <w:start w:w="100" w:type="dxa"/>
              <w:bottom w:w="90" w:type="dxa"/>
              <w:end w:w="100" w:type="dxa"/>
            </w:tcMar>
          </w:tcPr>
          <w:p>
            <w:pPr>
              <w:jc w:val="center"/>
            </w:pPr>
            <w:r>
              <w:rPr>
                <w:b/>
                <w:color w:val="FFFFFF"/>
                <w:sz w:val="16"/>
              </w:rPr>
              <w:t>Details</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Document type</w:t>
            </w:r>
          </w:p>
        </w:tc>
        <w:tc>
          <w:tcPr>
            <w:tcW w:type="dxa" w:w="8352"/>
            <w:vAlign w:val="center"/>
            <w:tcMar>
              <w:top w:w="90" w:type="dxa"/>
              <w:start w:w="100" w:type="dxa"/>
              <w:bottom w:w="90" w:type="dxa"/>
              <w:end w:w="100" w:type="dxa"/>
            </w:tcMar>
          </w:tcPr>
          <w:p>
            <w:pPr>
              <w:spacing w:after="0" w:line="240" w:lineRule="auto"/>
              <w:jc w:val="left"/>
            </w:pPr>
            <w:r>
              <w:rPr>
                <w:color w:val="232D37"/>
                <w:sz w:val="16"/>
              </w:rPr>
              <w:t>Enterprise functional blueprint and master-data specification</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Primary audience</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Facilities, Administration, Infrastructure, Finance, Procurement, IT, Security, HR, Risk, Audit, ESG and platform development teams</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Deployment scale</w:t>
            </w:r>
          </w:p>
        </w:tc>
        <w:tc>
          <w:tcPr>
            <w:tcW w:type="dxa" w:w="8352"/>
            <w:vAlign w:val="center"/>
            <w:tcMar>
              <w:top w:w="90" w:type="dxa"/>
              <w:start w:w="100" w:type="dxa"/>
              <w:bottom w:w="90" w:type="dxa"/>
              <w:end w:w="100" w:type="dxa"/>
            </w:tcMar>
          </w:tcPr>
          <w:p>
            <w:pPr>
              <w:spacing w:after="0" w:line="240" w:lineRule="auto"/>
              <w:jc w:val="left"/>
            </w:pPr>
            <w:r>
              <w:rPr>
                <w:color w:val="232D37"/>
                <w:sz w:val="16"/>
              </w:rPr>
              <w:t>Thousands of branches, corporate offices, regional offices, processing centres, warehouses, data/technology sites and leased facilities</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Primary outcome</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One controlled source of truth for locations, assets, services, vendors, contracts, budgets, work orders, consumption, invoices, compliance and management reporting</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Configuration principle</w:t>
            </w:r>
          </w:p>
        </w:tc>
        <w:tc>
          <w:tcPr>
            <w:tcW w:type="dxa" w:w="8352"/>
            <w:vAlign w:val="center"/>
            <w:tcMar>
              <w:top w:w="90" w:type="dxa"/>
              <w:start w:w="100" w:type="dxa"/>
              <w:bottom w:w="90" w:type="dxa"/>
              <w:end w:w="100" w:type="dxa"/>
            </w:tcMar>
          </w:tcPr>
          <w:p>
            <w:pPr>
              <w:spacing w:after="0" w:line="240" w:lineRule="auto"/>
              <w:jc w:val="left"/>
            </w:pPr>
            <w:r>
              <w:rPr>
                <w:color w:val="232D37"/>
                <w:sz w:val="16"/>
              </w:rPr>
              <w:t>Common enterprise core with legal-entity, country, business-unit and location-specific policies</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Important note</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Illustrative framework; statutory, accounting, safety, banking and local requirements must be validated by the organisation’s authorised teams.</w:t>
            </w:r>
          </w:p>
        </w:tc>
      </w:tr>
    </w:tbl>
    <w:p>
      <w:pPr>
        <w:spacing w:after="40"/>
      </w:pPr>
    </w:p>
    <w:p>
      <w:pPr>
        <w:pStyle w:val="Heading2"/>
        <w:keepNext/>
      </w:pPr>
      <w:r>
        <w:t>How to Use This Document</w:t>
      </w:r>
    </w:p>
    <w:p>
      <w:pPr>
        <w:pStyle w:val="ListBullet"/>
      </w:pPr>
      <w:r>
        <w:t>Business owners should approve the operating model, location hierarchy, service scope and control points.</w:t>
      </w:r>
    </w:p>
    <w:p>
      <w:pPr>
        <w:pStyle w:val="ListBullet"/>
      </w:pPr>
      <w:r>
        <w:t>Finance and Procurement should map budget heads, general-ledger codes, tax rules, sourcing routes and approval limits.</w:t>
      </w:r>
    </w:p>
    <w:p>
      <w:pPr>
        <w:pStyle w:val="ListBullet"/>
      </w:pPr>
      <w:r>
        <w:t>Technology teams should convert each master, workflow, rule, role, integration and report into product backlog items.</w:t>
      </w:r>
    </w:p>
    <w:p>
      <w:pPr>
        <w:pStyle w:val="ListBullet"/>
      </w:pPr>
      <w:r>
        <w:t>Regional and branch teams should validate local variations without breaking enterprise controls.</w:t>
      </w:r>
    </w:p>
    <w:p>
      <w:pPr>
        <w:pStyle w:val="ListBullet"/>
      </w:pPr>
      <w:r>
        <w:t>Data owners should populate mandatory fields and establish data-quality SLAs before migration.</w:t>
      </w:r>
    </w:p>
    <w:p>
      <w:pPr>
        <w:pStyle w:val="Heading2"/>
        <w:keepNext/>
      </w:pPr>
      <w:r>
        <w:t>Table of Contents</w:t>
      </w:r>
    </w:p>
    <w:p>
      <w:pPr>
        <w:spacing w:after="120" w:line="269" w:lineRule="auto"/>
      </w:pPr>
      <w:r>
        <w:t>1. Executive vision and design principles</w:t>
      </w:r>
    </w:p>
    <w:p>
      <w:pPr>
        <w:spacing w:after="120" w:line="269" w:lineRule="auto"/>
      </w:pPr>
      <w:r>
        <w:t>2. Organisation and location hierarchy</w:t>
      </w:r>
    </w:p>
    <w:p>
      <w:pPr>
        <w:spacing w:after="120" w:line="269" w:lineRule="auto"/>
      </w:pPr>
      <w:r>
        <w:t>3. Location master and physical infrastructure</w:t>
      </w:r>
    </w:p>
    <w:p>
      <w:pPr>
        <w:spacing w:after="120" w:line="269" w:lineRule="auto"/>
      </w:pPr>
      <w:r>
        <w:t>4. Service catalogue and operating standards</w:t>
      </w:r>
    </w:p>
    <w:p>
      <w:pPr>
        <w:spacing w:after="120" w:line="269" w:lineRule="auto"/>
      </w:pPr>
      <w:r>
        <w:t>5. Asset, equipment and AMC management</w:t>
      </w:r>
    </w:p>
    <w:p>
      <w:pPr>
        <w:spacing w:after="120" w:line="269" w:lineRule="auto"/>
      </w:pPr>
      <w:r>
        <w:t>6. Consumables, stationery and inventory</w:t>
      </w:r>
    </w:p>
    <w:p>
      <w:pPr>
        <w:spacing w:after="120" w:line="269" w:lineRule="auto"/>
      </w:pPr>
      <w:r>
        <w:t>7. Budget, CAPEX, OPEX and cost allocation</w:t>
      </w:r>
    </w:p>
    <w:p>
      <w:pPr>
        <w:spacing w:after="120" w:line="269" w:lineRule="auto"/>
      </w:pPr>
      <w:r>
        <w:t>8. Procurement, vendors, contracts and billing</w:t>
      </w:r>
    </w:p>
    <w:p>
      <w:pPr>
        <w:spacing w:after="120" w:line="269" w:lineRule="auto"/>
      </w:pPr>
      <w:r>
        <w:t>9. Request, incident, work order and preventive maintenance</w:t>
      </w:r>
    </w:p>
    <w:p>
      <w:pPr>
        <w:spacing w:after="120" w:line="269" w:lineRule="auto"/>
      </w:pPr>
      <w:r>
        <w:t>10. Compliance, risk, resilience, ESG and security</w:t>
      </w:r>
    </w:p>
    <w:p>
      <w:pPr>
        <w:spacing w:after="120" w:line="269" w:lineRule="auto"/>
      </w:pPr>
      <w:r>
        <w:t>11. Data model, roles, integrations, dashboards and implementation</w:t>
      </w:r>
    </w:p>
    <w:p>
      <w:r>
        <w:br w:type="page"/>
      </w:r>
    </w:p>
    <w:p>
      <w:pPr>
        <w:pStyle w:val="Heading1"/>
        <w:keepNext/>
      </w:pPr>
      <w:r>
        <w:t>1. Executive Vision and Design Principles</w:t>
      </w:r>
    </w:p>
    <w:p>
      <w:pPr>
        <w:spacing w:after="120" w:line="269" w:lineRule="auto"/>
      </w:pPr>
      <w:r>
        <w:t>The target capability is a single enterprise Facilities and Infrastructure Management System that can govern a highly distributed network while preserving local operational speed. It should support the control intensity expected in a BFSI organisation and the workplace experience, technology integration and sustainability expectations associated with a global digital enterprise.</w:t>
      </w:r>
    </w:p>
    <w:tbl>
      <w:tblPr>
        <w:tblW w:type="auto" w:w="0"/>
        <w:jc w:val="center"/>
        <w:tblLook w:firstColumn="1" w:firstRow="1" w:lastColumn="0" w:lastRow="0" w:noHBand="0" w:noVBand="1" w:val="04A0"/>
      </w:tblPr>
      <w:tblGrid>
        <w:gridCol w:w="10224"/>
      </w:tblGrid>
      <w:tr>
        <w:tc>
          <w:tcPr>
            <w:tcW w:type="dxa" w:w="10224"/>
            <w:shd w:fill="D9EAF7"/>
            <w:tcMar>
              <w:top w:w="150" w:type="dxa"/>
              <w:start w:w="180" w:type="dxa"/>
              <w:bottom w:w="150" w:type="dxa"/>
              <w:end w:w="180" w:type="dxa"/>
            </w:tcMar>
          </w:tcPr>
          <w:p>
            <w:r>
              <w:rPr>
                <w:b/>
                <w:color w:val="17365D"/>
                <w:sz w:val="21"/>
              </w:rPr>
              <w:t>Target state</w:t>
              <w:br/>
            </w:r>
            <w:r>
              <w:rPr>
                <w:color w:val="2D3741"/>
                <w:sz w:val="18"/>
              </w:rPr>
              <w:t>Every site, floor, room, asset, contract, service, employee request, work order, unit of consumption, budget commitment, invoice and compliance obligation is uniquely identifiable, traceable to an accountable owner, and visible at enterprise, legal-entity, business-unit, region and location level.</w:t>
            </w:r>
          </w:p>
        </w:tc>
      </w:tr>
    </w:tbl>
    <w:p>
      <w:pPr>
        <w:spacing w:after="40"/>
      </w:pPr>
    </w:p>
    <w:p>
      <w:pPr>
        <w:pStyle w:val="Heading2"/>
        <w:keepNext/>
      </w:pPr>
      <w:r>
        <w:t>1.1 Core design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7365D"/>
            <w:vAlign w:val="center"/>
            <w:tcMar>
              <w:top w:w="90" w:type="dxa"/>
              <w:start w:w="100" w:type="dxa"/>
              <w:bottom w:w="90" w:type="dxa"/>
              <w:end w:w="100" w:type="dxa"/>
            </w:tcMar>
          </w:tcPr>
          <w:p>
            <w:pPr>
              <w:jc w:val="center"/>
            </w:pPr>
            <w:r>
              <w:rPr>
                <w:b/>
                <w:color w:val="FFFFFF"/>
                <w:sz w:val="16"/>
              </w:rPr>
              <w:t>Principle</w:t>
            </w:r>
          </w:p>
        </w:tc>
        <w:tc>
          <w:tcPr>
            <w:tcW w:type="dxa" w:w="7776"/>
            <w:shd w:fill="17365D"/>
            <w:vAlign w:val="center"/>
            <w:tcMar>
              <w:top w:w="90" w:type="dxa"/>
              <w:start w:w="100" w:type="dxa"/>
              <w:bottom w:w="90" w:type="dxa"/>
              <w:end w:w="100" w:type="dxa"/>
            </w:tcMar>
          </w:tcPr>
          <w:p>
            <w:pPr>
              <w:jc w:val="center"/>
            </w:pPr>
            <w:r>
              <w:rPr>
                <w:b/>
                <w:color w:val="FFFFFF"/>
                <w:sz w:val="16"/>
              </w:rPr>
              <w:t>Application</w:t>
            </w:r>
          </w:p>
        </w:tc>
      </w:tr>
      <w:tr>
        <w:tc>
          <w:tcPr>
            <w:tcW w:type="dxa" w:w="2592"/>
            <w:vAlign w:val="center"/>
            <w:tcMar>
              <w:top w:w="90" w:type="dxa"/>
              <w:start w:w="100" w:type="dxa"/>
              <w:bottom w:w="90" w:type="dxa"/>
              <w:end w:w="100" w:type="dxa"/>
            </w:tcMar>
          </w:tcPr>
          <w:p>
            <w:pPr>
              <w:spacing w:after="0" w:line="240" w:lineRule="auto"/>
              <w:jc w:val="center"/>
            </w:pPr>
            <w:r>
              <w:rPr>
                <w:color w:val="232D37"/>
                <w:sz w:val="16"/>
              </w:rPr>
              <w:t>Enterprise standard, local configuration</w:t>
            </w:r>
          </w:p>
        </w:tc>
        <w:tc>
          <w:tcPr>
            <w:tcW w:type="dxa" w:w="7776"/>
            <w:vAlign w:val="center"/>
            <w:tcMar>
              <w:top w:w="90" w:type="dxa"/>
              <w:start w:w="100" w:type="dxa"/>
              <w:bottom w:w="90" w:type="dxa"/>
              <w:end w:w="100" w:type="dxa"/>
            </w:tcMar>
          </w:tcPr>
          <w:p>
            <w:pPr>
              <w:spacing w:after="0" w:line="240" w:lineRule="auto"/>
              <w:jc w:val="left"/>
            </w:pPr>
            <w:r>
              <w:rPr>
                <w:color w:val="232D37"/>
                <w:sz w:val="16"/>
              </w:rPr>
              <w:t>Use a common taxonomy and control framework while allowing approved local rate cards, regulations, service windows and language.</w:t>
            </w:r>
          </w:p>
        </w:tc>
      </w:tr>
      <w:tr>
        <w:tc>
          <w:tcPr>
            <w:tcW w:type="dxa" w:w="2592"/>
            <w:vAlign w:val="center"/>
            <w:tcMar>
              <w:top w:w="90" w:type="dxa"/>
              <w:start w:w="100" w:type="dxa"/>
              <w:bottom w:w="90" w:type="dxa"/>
              <w:end w:w="100" w:type="dxa"/>
            </w:tcMar>
            <w:shd w:fill="F2F6FA"/>
          </w:tcPr>
          <w:p>
            <w:pPr>
              <w:spacing w:after="0" w:line="240" w:lineRule="auto"/>
              <w:jc w:val="center"/>
            </w:pPr>
            <w:r>
              <w:rPr>
                <w:color w:val="232D37"/>
                <w:sz w:val="16"/>
              </w:rPr>
              <w:t>Hierarchy-first governance</w:t>
            </w:r>
          </w:p>
        </w:tc>
        <w:tc>
          <w:tcPr>
            <w:tcW w:type="dxa" w:w="7776"/>
            <w:vAlign w:val="center"/>
            <w:tcMar>
              <w:top w:w="90" w:type="dxa"/>
              <w:start w:w="100" w:type="dxa"/>
              <w:bottom w:w="90" w:type="dxa"/>
              <w:end w:w="100" w:type="dxa"/>
            </w:tcMar>
            <w:shd w:fill="F2F6FA"/>
          </w:tcPr>
          <w:p>
            <w:pPr>
              <w:spacing w:after="0" w:line="240" w:lineRule="auto"/>
              <w:jc w:val="left"/>
            </w:pPr>
            <w:r>
              <w:rPr>
                <w:color w:val="232D37"/>
                <w:sz w:val="16"/>
              </w:rPr>
              <w:t>Every transaction inherits legal entity, cost centre, geography, business unit, site classification and approving authority from master data.</w:t>
            </w:r>
          </w:p>
        </w:tc>
      </w:tr>
      <w:tr>
        <w:tc>
          <w:tcPr>
            <w:tcW w:type="dxa" w:w="2592"/>
            <w:vAlign w:val="center"/>
            <w:tcMar>
              <w:top w:w="90" w:type="dxa"/>
              <w:start w:w="100" w:type="dxa"/>
              <w:bottom w:w="90" w:type="dxa"/>
              <w:end w:w="100" w:type="dxa"/>
            </w:tcMar>
          </w:tcPr>
          <w:p>
            <w:pPr>
              <w:spacing w:after="0" w:line="240" w:lineRule="auto"/>
              <w:jc w:val="center"/>
            </w:pPr>
            <w:r>
              <w:rPr>
                <w:color w:val="232D37"/>
                <w:sz w:val="16"/>
              </w:rPr>
              <w:t>Lifecycle control</w:t>
            </w:r>
          </w:p>
        </w:tc>
        <w:tc>
          <w:tcPr>
            <w:tcW w:type="dxa" w:w="7776"/>
            <w:vAlign w:val="center"/>
            <w:tcMar>
              <w:top w:w="90" w:type="dxa"/>
              <w:start w:w="100" w:type="dxa"/>
              <w:bottom w:w="90" w:type="dxa"/>
              <w:end w:w="100" w:type="dxa"/>
            </w:tcMar>
          </w:tcPr>
          <w:p>
            <w:pPr>
              <w:spacing w:after="0" w:line="240" w:lineRule="auto"/>
              <w:jc w:val="left"/>
            </w:pPr>
            <w:r>
              <w:rPr>
                <w:color w:val="232D37"/>
                <w:sz w:val="16"/>
              </w:rPr>
              <w:t>Manage demand, approval, procurement, deployment, operation, maintenance, movement, consumption, billing, accounting and disposal in one chain.</w:t>
            </w:r>
          </w:p>
        </w:tc>
      </w:tr>
      <w:tr>
        <w:tc>
          <w:tcPr>
            <w:tcW w:type="dxa" w:w="2592"/>
            <w:vAlign w:val="center"/>
            <w:tcMar>
              <w:top w:w="90" w:type="dxa"/>
              <w:start w:w="100" w:type="dxa"/>
              <w:bottom w:w="90" w:type="dxa"/>
              <w:end w:w="100" w:type="dxa"/>
            </w:tcMar>
            <w:shd w:fill="F2F6FA"/>
          </w:tcPr>
          <w:p>
            <w:pPr>
              <w:spacing w:after="0" w:line="240" w:lineRule="auto"/>
              <w:jc w:val="center"/>
            </w:pPr>
            <w:r>
              <w:rPr>
                <w:color w:val="232D37"/>
                <w:sz w:val="16"/>
              </w:rPr>
              <w:t>Risk-based depth</w:t>
            </w:r>
          </w:p>
        </w:tc>
        <w:tc>
          <w:tcPr>
            <w:tcW w:type="dxa" w:w="7776"/>
            <w:vAlign w:val="center"/>
            <w:tcMar>
              <w:top w:w="90" w:type="dxa"/>
              <w:start w:w="100" w:type="dxa"/>
              <w:bottom w:w="90" w:type="dxa"/>
              <w:end w:w="100" w:type="dxa"/>
            </w:tcMar>
            <w:shd w:fill="F2F6FA"/>
          </w:tcPr>
          <w:p>
            <w:pPr>
              <w:spacing w:after="0" w:line="240" w:lineRule="auto"/>
              <w:jc w:val="left"/>
            </w:pPr>
            <w:r>
              <w:rPr>
                <w:color w:val="232D37"/>
                <w:sz w:val="16"/>
              </w:rPr>
              <w:t>Critical branches, cash-handling sites, command centres, data facilities and executive offices receive stronger controls and shorter SLAs.</w:t>
            </w:r>
          </w:p>
        </w:tc>
      </w:tr>
      <w:tr>
        <w:tc>
          <w:tcPr>
            <w:tcW w:type="dxa" w:w="2592"/>
            <w:vAlign w:val="center"/>
            <w:tcMar>
              <w:top w:w="90" w:type="dxa"/>
              <w:start w:w="100" w:type="dxa"/>
              <w:bottom w:w="90" w:type="dxa"/>
              <w:end w:w="100" w:type="dxa"/>
            </w:tcMar>
          </w:tcPr>
          <w:p>
            <w:pPr>
              <w:spacing w:after="0" w:line="240" w:lineRule="auto"/>
              <w:jc w:val="center"/>
            </w:pPr>
            <w:r>
              <w:rPr>
                <w:color w:val="232D37"/>
                <w:sz w:val="16"/>
              </w:rPr>
              <w:t>Budget before spend</w:t>
            </w:r>
          </w:p>
        </w:tc>
        <w:tc>
          <w:tcPr>
            <w:tcW w:type="dxa" w:w="7776"/>
            <w:vAlign w:val="center"/>
            <w:tcMar>
              <w:top w:w="90" w:type="dxa"/>
              <w:start w:w="100" w:type="dxa"/>
              <w:bottom w:w="90" w:type="dxa"/>
              <w:end w:w="100" w:type="dxa"/>
            </w:tcMar>
          </w:tcPr>
          <w:p>
            <w:pPr>
              <w:spacing w:after="0" w:line="240" w:lineRule="auto"/>
              <w:jc w:val="left"/>
            </w:pPr>
            <w:r>
              <w:rPr>
                <w:color w:val="232D37"/>
                <w:sz w:val="16"/>
              </w:rPr>
              <w:t>Validate approved budget, available balance, commitment and funding source before purchase order, work order or invoice approval.</w:t>
            </w:r>
          </w:p>
        </w:tc>
      </w:tr>
      <w:tr>
        <w:tc>
          <w:tcPr>
            <w:tcW w:type="dxa" w:w="2592"/>
            <w:vAlign w:val="center"/>
            <w:tcMar>
              <w:top w:w="90" w:type="dxa"/>
              <w:start w:w="100" w:type="dxa"/>
              <w:bottom w:w="90" w:type="dxa"/>
              <w:end w:w="100" w:type="dxa"/>
            </w:tcMar>
            <w:shd w:fill="F2F6FA"/>
          </w:tcPr>
          <w:p>
            <w:pPr>
              <w:spacing w:after="0" w:line="240" w:lineRule="auto"/>
              <w:jc w:val="center"/>
            </w:pPr>
            <w:r>
              <w:rPr>
                <w:color w:val="232D37"/>
                <w:sz w:val="16"/>
              </w:rPr>
              <w:t>Evidence by design</w:t>
            </w:r>
          </w:p>
        </w:tc>
        <w:tc>
          <w:tcPr>
            <w:tcW w:type="dxa" w:w="7776"/>
            <w:vAlign w:val="center"/>
            <w:tcMar>
              <w:top w:w="90" w:type="dxa"/>
              <w:start w:w="100" w:type="dxa"/>
              <w:bottom w:w="90" w:type="dxa"/>
              <w:end w:w="100" w:type="dxa"/>
            </w:tcMar>
            <w:shd w:fill="F2F6FA"/>
          </w:tcPr>
          <w:p>
            <w:pPr>
              <w:spacing w:after="0" w:line="240" w:lineRule="auto"/>
              <w:jc w:val="left"/>
            </w:pPr>
            <w:r>
              <w:rPr>
                <w:color w:val="232D37"/>
                <w:sz w:val="16"/>
              </w:rPr>
              <w:t>Require quotations, approvals, attendance, meter readings, before/after photographs, service reports, delivery proof, asset tags and invoices at the relevant stage.</w:t>
            </w:r>
          </w:p>
        </w:tc>
      </w:tr>
      <w:tr>
        <w:tc>
          <w:tcPr>
            <w:tcW w:type="dxa" w:w="2592"/>
            <w:vAlign w:val="center"/>
            <w:tcMar>
              <w:top w:w="90" w:type="dxa"/>
              <w:start w:w="100" w:type="dxa"/>
              <w:bottom w:w="90" w:type="dxa"/>
              <w:end w:w="100" w:type="dxa"/>
            </w:tcMar>
          </w:tcPr>
          <w:p>
            <w:pPr>
              <w:spacing w:after="0" w:line="240" w:lineRule="auto"/>
              <w:jc w:val="center"/>
            </w:pPr>
            <w:r>
              <w:rPr>
                <w:color w:val="232D37"/>
                <w:sz w:val="16"/>
              </w:rPr>
              <w:t>Exception-led management</w:t>
            </w:r>
          </w:p>
        </w:tc>
        <w:tc>
          <w:tcPr>
            <w:tcW w:type="dxa" w:w="7776"/>
            <w:vAlign w:val="center"/>
            <w:tcMar>
              <w:top w:w="90" w:type="dxa"/>
              <w:start w:w="100" w:type="dxa"/>
              <w:bottom w:w="90" w:type="dxa"/>
              <w:end w:w="100" w:type="dxa"/>
            </w:tcMar>
          </w:tcPr>
          <w:p>
            <w:pPr>
              <w:spacing w:after="0" w:line="240" w:lineRule="auto"/>
              <w:jc w:val="left"/>
            </w:pPr>
            <w:r>
              <w:rPr>
                <w:color w:val="232D37"/>
                <w:sz w:val="16"/>
              </w:rPr>
              <w:t>Dashboards prioritise overdue, overspend, repeat failure, contract leakage, stock variance, compliance expiry and vendor underperformance.</w:t>
            </w:r>
          </w:p>
        </w:tc>
      </w:tr>
      <w:tr>
        <w:tc>
          <w:tcPr>
            <w:tcW w:type="dxa" w:w="2592"/>
            <w:vAlign w:val="center"/>
            <w:tcMar>
              <w:top w:w="90" w:type="dxa"/>
              <w:start w:w="100" w:type="dxa"/>
              <w:bottom w:w="90" w:type="dxa"/>
              <w:end w:w="100" w:type="dxa"/>
            </w:tcMar>
            <w:shd w:fill="F2F6FA"/>
          </w:tcPr>
          <w:p>
            <w:pPr>
              <w:spacing w:after="0" w:line="240" w:lineRule="auto"/>
              <w:jc w:val="center"/>
            </w:pPr>
            <w:r>
              <w:rPr>
                <w:color w:val="232D37"/>
                <w:sz w:val="16"/>
              </w:rPr>
              <w:t>API-first integration</w:t>
            </w:r>
          </w:p>
        </w:tc>
        <w:tc>
          <w:tcPr>
            <w:tcW w:type="dxa" w:w="7776"/>
            <w:vAlign w:val="center"/>
            <w:tcMar>
              <w:top w:w="90" w:type="dxa"/>
              <w:start w:w="100" w:type="dxa"/>
              <w:bottom w:w="90" w:type="dxa"/>
              <w:end w:w="100" w:type="dxa"/>
            </w:tcMar>
            <w:shd w:fill="F2F6FA"/>
          </w:tcPr>
          <w:p>
            <w:pPr>
              <w:spacing w:after="0" w:line="240" w:lineRule="auto"/>
              <w:jc w:val="left"/>
            </w:pPr>
            <w:r>
              <w:rPr>
                <w:color w:val="232D37"/>
                <w:sz w:val="16"/>
              </w:rPr>
              <w:t>Exchange organisation, employee, finance, procurement, identity, building, IoT and payment data with systems of record.</w:t>
            </w:r>
          </w:p>
        </w:tc>
      </w:tr>
      <w:tr>
        <w:tc>
          <w:tcPr>
            <w:tcW w:type="dxa" w:w="2592"/>
            <w:vAlign w:val="center"/>
            <w:tcMar>
              <w:top w:w="90" w:type="dxa"/>
              <w:start w:w="100" w:type="dxa"/>
              <w:bottom w:w="90" w:type="dxa"/>
              <w:end w:w="100" w:type="dxa"/>
            </w:tcMar>
          </w:tcPr>
          <w:p>
            <w:pPr>
              <w:spacing w:after="0" w:line="240" w:lineRule="auto"/>
              <w:jc w:val="center"/>
            </w:pPr>
            <w:r>
              <w:rPr>
                <w:color w:val="232D37"/>
                <w:sz w:val="16"/>
              </w:rPr>
              <w:t>Employee-centric access</w:t>
            </w:r>
          </w:p>
        </w:tc>
        <w:tc>
          <w:tcPr>
            <w:tcW w:type="dxa" w:w="7776"/>
            <w:vAlign w:val="center"/>
            <w:tcMar>
              <w:top w:w="90" w:type="dxa"/>
              <w:start w:w="100" w:type="dxa"/>
              <w:bottom w:w="90" w:type="dxa"/>
              <w:end w:w="100" w:type="dxa"/>
            </w:tcMar>
          </w:tcPr>
          <w:p>
            <w:pPr>
              <w:spacing w:after="0" w:line="240" w:lineRule="auto"/>
              <w:jc w:val="left"/>
            </w:pPr>
            <w:r>
              <w:rPr>
                <w:color w:val="232D37"/>
                <w:sz w:val="16"/>
              </w:rPr>
              <w:t>Offer email, portal, mobile, chatbot and service-desk channels with consistent case numbers and proactive communications.</w:t>
            </w:r>
          </w:p>
        </w:tc>
      </w:tr>
      <w:tr>
        <w:tc>
          <w:tcPr>
            <w:tcW w:type="dxa" w:w="2592"/>
            <w:vAlign w:val="center"/>
            <w:tcMar>
              <w:top w:w="90" w:type="dxa"/>
              <w:start w:w="100" w:type="dxa"/>
              <w:bottom w:w="90" w:type="dxa"/>
              <w:end w:w="100" w:type="dxa"/>
            </w:tcMar>
            <w:shd w:fill="F2F6FA"/>
          </w:tcPr>
          <w:p>
            <w:pPr>
              <w:spacing w:after="0" w:line="240" w:lineRule="auto"/>
              <w:jc w:val="center"/>
            </w:pPr>
            <w:r>
              <w:rPr>
                <w:color w:val="232D37"/>
                <w:sz w:val="16"/>
              </w:rPr>
              <w:t>Sustainability and inclusion</w:t>
            </w:r>
          </w:p>
        </w:tc>
        <w:tc>
          <w:tcPr>
            <w:tcW w:type="dxa" w:w="7776"/>
            <w:vAlign w:val="center"/>
            <w:tcMar>
              <w:top w:w="90" w:type="dxa"/>
              <w:start w:w="100" w:type="dxa"/>
              <w:bottom w:w="90" w:type="dxa"/>
              <w:end w:w="100" w:type="dxa"/>
            </w:tcMar>
            <w:shd w:fill="F2F6FA"/>
          </w:tcPr>
          <w:p>
            <w:pPr>
              <w:spacing w:after="0" w:line="240" w:lineRule="auto"/>
              <w:jc w:val="left"/>
            </w:pPr>
            <w:r>
              <w:rPr>
                <w:color w:val="232D37"/>
                <w:sz w:val="16"/>
              </w:rPr>
              <w:t>Track energy, water, waste, emissions, accessibility and employee experience within core operations, not as side reports.</w:t>
            </w:r>
          </w:p>
        </w:tc>
      </w:tr>
    </w:tbl>
    <w:p>
      <w:pPr>
        <w:spacing w:after="40"/>
      </w:pPr>
    </w:p>
    <w:p>
      <w:pPr>
        <w:pStyle w:val="Heading2"/>
        <w:keepNext/>
      </w:pPr>
      <w:r>
        <w:t>1.2 Enterprise scope</w:t>
      </w:r>
    </w:p>
    <w:p>
      <w:pPr>
        <w:pStyle w:val="ListBullet"/>
      </w:pPr>
      <w:r>
        <w:t>Real estate and lease administration</w:t>
      </w:r>
    </w:p>
    <w:p>
      <w:pPr>
        <w:pStyle w:val="ListBullet"/>
      </w:pPr>
      <w:r>
        <w:t>Space, occupancy, seating, meeting and amenity management</w:t>
      </w:r>
    </w:p>
    <w:p>
      <w:pPr>
        <w:pStyle w:val="ListBullet"/>
      </w:pPr>
      <w:r>
        <w:t>Physical infrastructure and engineering systems</w:t>
      </w:r>
    </w:p>
    <w:p>
      <w:pPr>
        <w:pStyle w:val="ListBullet"/>
      </w:pPr>
      <w:r>
        <w:t>Facilities services, housekeeping, pantry, security and transport interfaces</w:t>
      </w:r>
    </w:p>
    <w:p>
      <w:pPr>
        <w:pStyle w:val="ListBullet"/>
      </w:pPr>
      <w:r>
        <w:t>Assets, warranties, annual maintenance contracts and spares</w:t>
      </w:r>
    </w:p>
    <w:p>
      <w:pPr>
        <w:pStyle w:val="ListBullet"/>
      </w:pPr>
      <w:r>
        <w:t>Stationery, housekeeping consumables, pantry items and uniforms/PPE</w:t>
      </w:r>
    </w:p>
    <w:p>
      <w:pPr>
        <w:pStyle w:val="ListBullet"/>
      </w:pPr>
      <w:r>
        <w:t>Budget planning, forecasting, commitments, accruals and variance control</w:t>
      </w:r>
    </w:p>
    <w:p>
      <w:pPr>
        <w:pStyle w:val="ListBullet"/>
      </w:pPr>
      <w:r>
        <w:t>Sourcing, vendor onboarding, contracts, rate cards, purchase orders and invoice certification</w:t>
      </w:r>
    </w:p>
    <w:p>
      <w:pPr>
        <w:pStyle w:val="ListBullet"/>
      </w:pPr>
      <w:r>
        <w:t>Requests, incidents, preventive maintenance, inspections and projects</w:t>
      </w:r>
    </w:p>
    <w:p>
      <w:pPr>
        <w:pStyle w:val="ListBullet"/>
      </w:pPr>
      <w:r>
        <w:t>Regulatory, safety, insurance, licence, audit and business-continuity controls</w:t>
      </w:r>
    </w:p>
    <w:p>
      <w:pPr>
        <w:pStyle w:val="ListBullet"/>
      </w:pPr>
      <w:r>
        <w:t>Utilities, ESG, waste and carbon data</w:t>
      </w:r>
    </w:p>
    <w:p>
      <w:pPr>
        <w:pStyle w:val="ListBullet"/>
      </w:pPr>
      <w:r>
        <w:t>Dashboards, benchmarking, AI assistance and mobile field operations</w:t>
      </w:r>
    </w:p>
    <w:p>
      <w:pPr>
        <w:pStyle w:val="Heading1"/>
        <w:keepNext/>
      </w:pPr>
      <w:r>
        <w:t>2. Organisation and Location Hierarchy</w:t>
      </w:r>
    </w:p>
    <w:p>
      <w:pPr>
        <w:spacing w:after="120" w:line="269" w:lineRule="auto"/>
      </w:pPr>
      <w:r>
        <w:t>The platform must represent the organisation independently from geography. A location may serve multiple business units, while one business unit may operate across many legal entities and countries. Therefore, organisational, geographical, financial and physical hierarchies should be separate but linked.</w:t>
      </w:r>
    </w:p>
    <w:p>
      <w:pPr>
        <w:pStyle w:val="Heading2"/>
        <w:keepNext/>
      </w:pPr>
      <w:r>
        <w:t>2.1 Recommended enterprise hierarchy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6"/>
              </w:rPr>
              <w:t>Level</w:t>
            </w:r>
          </w:p>
        </w:tc>
        <w:tc>
          <w:tcPr>
            <w:tcW w:type="dxa" w:w="3024"/>
            <w:shd w:fill="17365D"/>
            <w:vAlign w:val="center"/>
            <w:tcMar>
              <w:top w:w="90" w:type="dxa"/>
              <w:start w:w="100" w:type="dxa"/>
              <w:bottom w:w="90" w:type="dxa"/>
              <w:end w:w="100" w:type="dxa"/>
            </w:tcMar>
          </w:tcPr>
          <w:p>
            <w:pPr>
              <w:jc w:val="center"/>
            </w:pPr>
            <w:r>
              <w:rPr>
                <w:b/>
                <w:color w:val="FFFFFF"/>
                <w:sz w:val="16"/>
              </w:rPr>
              <w:t>Examples</w:t>
            </w:r>
          </w:p>
        </w:tc>
        <w:tc>
          <w:tcPr>
            <w:tcW w:type="dxa" w:w="5688"/>
            <w:shd w:fill="17365D"/>
            <w:vAlign w:val="center"/>
            <w:tcMar>
              <w:top w:w="90" w:type="dxa"/>
              <w:start w:w="100" w:type="dxa"/>
              <w:bottom w:w="90" w:type="dxa"/>
              <w:end w:w="100" w:type="dxa"/>
            </w:tcMar>
          </w:tcPr>
          <w:p>
            <w:pPr>
              <w:jc w:val="center"/>
            </w:pPr>
            <w:r>
              <w:rPr>
                <w:b/>
                <w:color w:val="FFFFFF"/>
                <w:sz w:val="16"/>
              </w:rPr>
              <w:t>Primary use</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Enterprise group</w:t>
            </w:r>
          </w:p>
        </w:tc>
        <w:tc>
          <w:tcPr>
            <w:tcW w:type="dxa" w:w="3024"/>
            <w:vAlign w:val="center"/>
            <w:tcMar>
              <w:top w:w="90" w:type="dxa"/>
              <w:start w:w="100" w:type="dxa"/>
              <w:bottom w:w="90" w:type="dxa"/>
              <w:end w:w="100" w:type="dxa"/>
            </w:tcMar>
          </w:tcPr>
          <w:p>
            <w:pPr>
              <w:spacing w:after="0" w:line="240" w:lineRule="auto"/>
              <w:jc w:val="left"/>
            </w:pPr>
            <w:r>
              <w:rPr>
                <w:color w:val="232D37"/>
                <w:sz w:val="16"/>
              </w:rPr>
              <w:t>Parent group / holding organisation</w:t>
            </w:r>
          </w:p>
        </w:tc>
        <w:tc>
          <w:tcPr>
            <w:tcW w:type="dxa" w:w="5688"/>
            <w:vAlign w:val="center"/>
            <w:tcMar>
              <w:top w:w="90" w:type="dxa"/>
              <w:start w:w="100" w:type="dxa"/>
              <w:bottom w:w="90" w:type="dxa"/>
              <w:end w:w="100" w:type="dxa"/>
            </w:tcMar>
          </w:tcPr>
          <w:p>
            <w:pPr>
              <w:spacing w:after="0" w:line="240" w:lineRule="auto"/>
              <w:jc w:val="left"/>
            </w:pPr>
            <w:r>
              <w:rPr>
                <w:color w:val="232D37"/>
                <w:sz w:val="16"/>
              </w:rPr>
              <w:t>Group policies, consolidated reporting and supplier leverage</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Legal entity</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Bank, insurance company, technology subsidiary, services company</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Contracts, taxation, statutory reporting and books of account</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Business vertical</w:t>
            </w:r>
          </w:p>
        </w:tc>
        <w:tc>
          <w:tcPr>
            <w:tcW w:type="dxa" w:w="3024"/>
            <w:vAlign w:val="center"/>
            <w:tcMar>
              <w:top w:w="90" w:type="dxa"/>
              <w:start w:w="100" w:type="dxa"/>
              <w:bottom w:w="90" w:type="dxa"/>
              <w:end w:w="100" w:type="dxa"/>
            </w:tcMar>
          </w:tcPr>
          <w:p>
            <w:pPr>
              <w:spacing w:after="0" w:line="240" w:lineRule="auto"/>
              <w:jc w:val="left"/>
            </w:pPr>
            <w:r>
              <w:rPr>
                <w:color w:val="232D37"/>
                <w:sz w:val="16"/>
              </w:rPr>
              <w:t>Retail banking, corporate banking, insurance, operations, technology, sales</w:t>
            </w:r>
          </w:p>
        </w:tc>
        <w:tc>
          <w:tcPr>
            <w:tcW w:type="dxa" w:w="5688"/>
            <w:vAlign w:val="center"/>
            <w:tcMar>
              <w:top w:w="90" w:type="dxa"/>
              <w:start w:w="100" w:type="dxa"/>
              <w:bottom w:w="90" w:type="dxa"/>
              <w:end w:w="100" w:type="dxa"/>
            </w:tcMar>
          </w:tcPr>
          <w:p>
            <w:pPr>
              <w:spacing w:after="0" w:line="240" w:lineRule="auto"/>
              <w:jc w:val="left"/>
            </w:pPr>
            <w:r>
              <w:rPr>
                <w:color w:val="232D37"/>
                <w:sz w:val="16"/>
              </w:rPr>
              <w:t>Demand ownership and service differentiation</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Country / state / territory</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India, state, union territory, overseas geography</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Regulation, tax, holidays, rate cards and language</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Zone</w:t>
            </w:r>
          </w:p>
        </w:tc>
        <w:tc>
          <w:tcPr>
            <w:tcW w:type="dxa" w:w="3024"/>
            <w:vAlign w:val="center"/>
            <w:tcMar>
              <w:top w:w="90" w:type="dxa"/>
              <w:start w:w="100" w:type="dxa"/>
              <w:bottom w:w="90" w:type="dxa"/>
              <w:end w:w="100" w:type="dxa"/>
            </w:tcMar>
          </w:tcPr>
          <w:p>
            <w:pPr>
              <w:spacing w:after="0" w:line="240" w:lineRule="auto"/>
              <w:jc w:val="left"/>
            </w:pPr>
            <w:r>
              <w:rPr>
                <w:color w:val="232D37"/>
                <w:sz w:val="16"/>
              </w:rPr>
              <w:t>North, South, East, West, Central, International</w:t>
            </w:r>
          </w:p>
        </w:tc>
        <w:tc>
          <w:tcPr>
            <w:tcW w:type="dxa" w:w="5688"/>
            <w:vAlign w:val="center"/>
            <w:tcMar>
              <w:top w:w="90" w:type="dxa"/>
              <w:start w:w="100" w:type="dxa"/>
              <w:bottom w:w="90" w:type="dxa"/>
              <w:end w:w="100" w:type="dxa"/>
            </w:tcMar>
          </w:tcPr>
          <w:p>
            <w:pPr>
              <w:spacing w:after="0" w:line="240" w:lineRule="auto"/>
              <w:jc w:val="left"/>
            </w:pPr>
            <w:r>
              <w:rPr>
                <w:color w:val="232D37"/>
                <w:sz w:val="16"/>
              </w:rPr>
              <w:t>Executive span and strategic capacity</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Region / circle</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NCR, Karnataka, Maharashtra, etc.</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Regional budgets, vendor governance and escalation</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Cluster / area</w:t>
            </w:r>
          </w:p>
        </w:tc>
        <w:tc>
          <w:tcPr>
            <w:tcW w:type="dxa" w:w="3024"/>
            <w:vAlign w:val="center"/>
            <w:tcMar>
              <w:top w:w="90" w:type="dxa"/>
              <w:start w:w="100" w:type="dxa"/>
              <w:bottom w:w="90" w:type="dxa"/>
              <w:end w:w="100" w:type="dxa"/>
            </w:tcMar>
          </w:tcPr>
          <w:p>
            <w:pPr>
              <w:spacing w:after="0" w:line="240" w:lineRule="auto"/>
              <w:jc w:val="left"/>
            </w:pPr>
            <w:r>
              <w:rPr>
                <w:color w:val="232D37"/>
                <w:sz w:val="16"/>
              </w:rPr>
              <w:t>Operational group of nearby branches</w:t>
            </w:r>
          </w:p>
        </w:tc>
        <w:tc>
          <w:tcPr>
            <w:tcW w:type="dxa" w:w="5688"/>
            <w:vAlign w:val="center"/>
            <w:tcMar>
              <w:top w:w="90" w:type="dxa"/>
              <w:start w:w="100" w:type="dxa"/>
              <w:bottom w:w="90" w:type="dxa"/>
              <w:end w:w="100" w:type="dxa"/>
            </w:tcMar>
          </w:tcPr>
          <w:p>
            <w:pPr>
              <w:spacing w:after="0" w:line="240" w:lineRule="auto"/>
              <w:jc w:val="left"/>
            </w:pPr>
            <w:r>
              <w:rPr>
                <w:color w:val="232D37"/>
                <w:sz w:val="16"/>
              </w:rPr>
              <w:t>Field-engineer routes, audits and stock replenishment</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Location / site</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Corporate office, branch, hub, warehouse, data site</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Primary operational and financial unit</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Building / block</w:t>
            </w:r>
          </w:p>
        </w:tc>
        <w:tc>
          <w:tcPr>
            <w:tcW w:type="dxa" w:w="3024"/>
            <w:vAlign w:val="center"/>
            <w:tcMar>
              <w:top w:w="90" w:type="dxa"/>
              <w:start w:w="100" w:type="dxa"/>
              <w:bottom w:w="90" w:type="dxa"/>
              <w:end w:w="100" w:type="dxa"/>
            </w:tcMar>
          </w:tcPr>
          <w:p>
            <w:pPr>
              <w:spacing w:after="0" w:line="240" w:lineRule="auto"/>
              <w:jc w:val="left"/>
            </w:pPr>
            <w:r>
              <w:rPr>
                <w:color w:val="232D37"/>
                <w:sz w:val="16"/>
              </w:rPr>
              <w:t>Tower, campus building, owned premises</w:t>
            </w:r>
          </w:p>
        </w:tc>
        <w:tc>
          <w:tcPr>
            <w:tcW w:type="dxa" w:w="5688"/>
            <w:vAlign w:val="center"/>
            <w:tcMar>
              <w:top w:w="90" w:type="dxa"/>
              <w:start w:w="100" w:type="dxa"/>
              <w:bottom w:w="90" w:type="dxa"/>
              <w:end w:w="100" w:type="dxa"/>
            </w:tcMar>
          </w:tcPr>
          <w:p>
            <w:pPr>
              <w:spacing w:after="0" w:line="240" w:lineRule="auto"/>
              <w:jc w:val="left"/>
            </w:pPr>
            <w:r>
              <w:rPr>
                <w:color w:val="232D37"/>
                <w:sz w:val="16"/>
              </w:rPr>
              <w:t>Lease and engineering management</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Floor / wing / zone</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Floor 5, secure zone, public zone</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Space, assets, SLA and access controls</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Room / space</w:t>
            </w:r>
          </w:p>
        </w:tc>
        <w:tc>
          <w:tcPr>
            <w:tcW w:type="dxa" w:w="3024"/>
            <w:vAlign w:val="center"/>
            <w:tcMar>
              <w:top w:w="90" w:type="dxa"/>
              <w:start w:w="100" w:type="dxa"/>
              <w:bottom w:w="90" w:type="dxa"/>
              <w:end w:w="100" w:type="dxa"/>
            </w:tcMar>
          </w:tcPr>
          <w:p>
            <w:pPr>
              <w:spacing w:after="0" w:line="240" w:lineRule="auto"/>
              <w:jc w:val="left"/>
            </w:pPr>
            <w:r>
              <w:rPr>
                <w:color w:val="232D37"/>
                <w:sz w:val="16"/>
              </w:rPr>
              <w:t>Work area, vault, UPS room, cafeteria, training room</w:t>
            </w:r>
          </w:p>
        </w:tc>
        <w:tc>
          <w:tcPr>
            <w:tcW w:type="dxa" w:w="5688"/>
            <w:vAlign w:val="center"/>
            <w:tcMar>
              <w:top w:w="90" w:type="dxa"/>
              <w:start w:w="100" w:type="dxa"/>
              <w:bottom w:w="90" w:type="dxa"/>
              <w:end w:w="100" w:type="dxa"/>
            </w:tcMar>
          </w:tcPr>
          <w:p>
            <w:pPr>
              <w:spacing w:after="0" w:line="240" w:lineRule="auto"/>
              <w:jc w:val="left"/>
            </w:pPr>
            <w:r>
              <w:rPr>
                <w:color w:val="232D37"/>
                <w:sz w:val="16"/>
              </w:rPr>
              <w:t>Booking, maintenance, inspection and occupancy</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Asset / service point</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DG set, HVAC unit, printer, vending machine, washroom</w:t>
            </w:r>
          </w:p>
        </w:tc>
        <w:tc>
          <w:tcPr>
            <w:tcW w:type="dxa" w:w="5688"/>
            <w:vAlign w:val="center"/>
            <w:tcMar>
              <w:top w:w="90" w:type="dxa"/>
              <w:start w:w="100" w:type="dxa"/>
              <w:bottom w:w="90" w:type="dxa"/>
              <w:end w:w="100" w:type="dxa"/>
            </w:tcMar>
            <w:shd w:fill="F2F6FA"/>
          </w:tcPr>
          <w:p>
            <w:pPr>
              <w:spacing w:after="0" w:line="240" w:lineRule="auto"/>
              <w:jc w:val="left"/>
            </w:pPr>
            <w:r>
              <w:rPr>
                <w:color w:val="232D37"/>
                <w:sz w:val="16"/>
              </w:rPr>
              <w:t>Maintenance, meter, ticket and consumption tracking</w:t>
            </w:r>
          </w:p>
        </w:tc>
      </w:tr>
    </w:tbl>
    <w:p>
      <w:pPr>
        <w:spacing w:after="40"/>
      </w:pPr>
    </w:p>
    <w:p>
      <w:pPr>
        <w:pStyle w:val="Heading2"/>
        <w:keepNext/>
      </w:pPr>
      <w:r>
        <w:t>2.2 Location typology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17365D"/>
            <w:vAlign w:val="center"/>
            <w:tcMar>
              <w:top w:w="90" w:type="dxa"/>
              <w:start w:w="100" w:type="dxa"/>
              <w:bottom w:w="90" w:type="dxa"/>
              <w:end w:w="100" w:type="dxa"/>
            </w:tcMar>
          </w:tcPr>
          <w:p>
            <w:pPr>
              <w:jc w:val="center"/>
            </w:pPr>
            <w:r>
              <w:rPr>
                <w:b/>
                <w:color w:val="FFFFFF"/>
                <w:sz w:val="16"/>
              </w:rPr>
              <w:t>Location type</w:t>
            </w:r>
          </w:p>
        </w:tc>
        <w:tc>
          <w:tcPr>
            <w:tcW w:type="dxa" w:w="7920"/>
            <w:shd w:fill="17365D"/>
            <w:vAlign w:val="center"/>
            <w:tcMar>
              <w:top w:w="90" w:type="dxa"/>
              <w:start w:w="100" w:type="dxa"/>
              <w:bottom w:w="90" w:type="dxa"/>
              <w:end w:w="100" w:type="dxa"/>
            </w:tcMar>
          </w:tcPr>
          <w:p>
            <w:pPr>
              <w:jc w:val="center"/>
            </w:pPr>
            <w:r>
              <w:rPr>
                <w:b/>
                <w:color w:val="FFFFFF"/>
                <w:sz w:val="16"/>
              </w:rPr>
              <w:t>Control profile</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Corporate headquarters</w:t>
            </w:r>
          </w:p>
        </w:tc>
        <w:tc>
          <w:tcPr>
            <w:tcW w:type="dxa" w:w="7920"/>
            <w:vAlign w:val="center"/>
            <w:tcMar>
              <w:top w:w="90" w:type="dxa"/>
              <w:start w:w="100" w:type="dxa"/>
              <w:bottom w:w="90" w:type="dxa"/>
              <w:end w:w="100" w:type="dxa"/>
            </w:tcMar>
          </w:tcPr>
          <w:p>
            <w:pPr>
              <w:spacing w:after="0" w:line="240" w:lineRule="auto"/>
              <w:jc w:val="left"/>
            </w:pPr>
            <w:r>
              <w:rPr>
                <w:color w:val="232D37"/>
                <w:sz w:val="16"/>
              </w:rPr>
              <w:t>Leadership, central functions, executive areas, large meeting/event facilities; highest experience and resilience standards.</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Regional / zonal office</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Regional leadership, training, operations and vendor governance; shared-services capability.</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Standard branch</w:t>
            </w:r>
          </w:p>
        </w:tc>
        <w:tc>
          <w:tcPr>
            <w:tcW w:type="dxa" w:w="7920"/>
            <w:vAlign w:val="center"/>
            <w:tcMar>
              <w:top w:w="90" w:type="dxa"/>
              <w:start w:w="100" w:type="dxa"/>
              <w:bottom w:w="90" w:type="dxa"/>
              <w:end w:w="100" w:type="dxa"/>
            </w:tcMar>
          </w:tcPr>
          <w:p>
            <w:pPr>
              <w:spacing w:after="0" w:line="240" w:lineRule="auto"/>
              <w:jc w:val="left"/>
            </w:pPr>
            <w:r>
              <w:rPr>
                <w:color w:val="232D37"/>
                <w:sz w:val="16"/>
              </w:rPr>
              <w:t>Customer-facing banking/financial services operations; public area, back office, secure rooms and local utilities.</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Micro / rural branch</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Compact site with limited staff and remote support; simplified service bundle and route-based maintenance.</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Flagship / digital branch</w:t>
            </w:r>
          </w:p>
        </w:tc>
        <w:tc>
          <w:tcPr>
            <w:tcW w:type="dxa" w:w="7920"/>
            <w:vAlign w:val="center"/>
            <w:tcMar>
              <w:top w:w="90" w:type="dxa"/>
              <w:start w:w="100" w:type="dxa"/>
              <w:bottom w:w="90" w:type="dxa"/>
              <w:end w:w="100" w:type="dxa"/>
            </w:tcMar>
          </w:tcPr>
          <w:p>
            <w:pPr>
              <w:spacing w:after="0" w:line="240" w:lineRule="auto"/>
              <w:jc w:val="left"/>
            </w:pPr>
            <w:r>
              <w:rPr>
                <w:color w:val="232D37"/>
                <w:sz w:val="16"/>
              </w:rPr>
              <w:t>Premium customer experience, digital displays, smart queuing and enhanced uptime.</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Processing / operations centre</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High-density operations, shifts, secure records and business-continuity requirements.</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Technology campus</w:t>
            </w:r>
          </w:p>
        </w:tc>
        <w:tc>
          <w:tcPr>
            <w:tcW w:type="dxa" w:w="7920"/>
            <w:vAlign w:val="center"/>
            <w:tcMar>
              <w:top w:w="90" w:type="dxa"/>
              <w:start w:w="100" w:type="dxa"/>
              <w:bottom w:w="90" w:type="dxa"/>
              <w:end w:w="100" w:type="dxa"/>
            </w:tcMar>
          </w:tcPr>
          <w:p>
            <w:pPr>
              <w:spacing w:after="0" w:line="240" w:lineRule="auto"/>
              <w:jc w:val="left"/>
            </w:pPr>
            <w:r>
              <w:rPr>
                <w:color w:val="232D37"/>
                <w:sz w:val="16"/>
              </w:rPr>
              <w:t>Large employee population, collaboration space, labs, food, wellness, shuttle and smart-building integration.</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Data centre / network site</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Critical electrical, cooling, fire and access infrastructure; 24x7 monitoring and strict change control.</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Training / learning centre</w:t>
            </w:r>
          </w:p>
        </w:tc>
        <w:tc>
          <w:tcPr>
            <w:tcW w:type="dxa" w:w="7920"/>
            <w:vAlign w:val="center"/>
            <w:tcMar>
              <w:top w:w="90" w:type="dxa"/>
              <w:start w:w="100" w:type="dxa"/>
              <w:bottom w:w="90" w:type="dxa"/>
              <w:end w:w="100" w:type="dxa"/>
            </w:tcMar>
          </w:tcPr>
          <w:p>
            <w:pPr>
              <w:spacing w:after="0" w:line="240" w:lineRule="auto"/>
              <w:jc w:val="left"/>
            </w:pPr>
            <w:r>
              <w:rPr>
                <w:color w:val="232D37"/>
                <w:sz w:val="16"/>
              </w:rPr>
              <w:t>Classrooms, accommodation or food services, training assets and event scheduling.</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Warehouse / record room</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Inventory, archives, loading access, pest control and fire/compliance controls.</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ATM / kiosk / service outlet</w:t>
            </w:r>
          </w:p>
        </w:tc>
        <w:tc>
          <w:tcPr>
            <w:tcW w:type="dxa" w:w="7920"/>
            <w:vAlign w:val="center"/>
            <w:tcMar>
              <w:top w:w="90" w:type="dxa"/>
              <w:start w:w="100" w:type="dxa"/>
              <w:bottom w:w="90" w:type="dxa"/>
              <w:end w:w="100" w:type="dxa"/>
            </w:tcMar>
          </w:tcPr>
          <w:p>
            <w:pPr>
              <w:spacing w:after="0" w:line="240" w:lineRule="auto"/>
              <w:jc w:val="left"/>
            </w:pPr>
            <w:r>
              <w:rPr>
                <w:color w:val="232D37"/>
                <w:sz w:val="16"/>
              </w:rPr>
              <w:t>Unmanned or lightly staffed; surveillance, power, connectivity, signage and cash-service interfaces.</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Guest house / transit facility</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Rooms, linen, hospitality, occupancy, billing and safety controls.</w:t>
            </w:r>
          </w:p>
        </w:tc>
      </w:tr>
      <w:tr>
        <w:tc>
          <w:tcPr>
            <w:tcW w:type="dxa" w:w="2448"/>
            <w:vAlign w:val="center"/>
            <w:tcMar>
              <w:top w:w="90" w:type="dxa"/>
              <w:start w:w="100" w:type="dxa"/>
              <w:bottom w:w="90" w:type="dxa"/>
              <w:end w:w="100" w:type="dxa"/>
            </w:tcMar>
          </w:tcPr>
          <w:p>
            <w:pPr>
              <w:spacing w:after="0" w:line="240" w:lineRule="auto"/>
              <w:jc w:val="center"/>
            </w:pPr>
            <w:r>
              <w:rPr>
                <w:color w:val="232D37"/>
                <w:sz w:val="16"/>
              </w:rPr>
              <w:t>Project / temporary office</w:t>
            </w:r>
          </w:p>
        </w:tc>
        <w:tc>
          <w:tcPr>
            <w:tcW w:type="dxa" w:w="7920"/>
            <w:vAlign w:val="center"/>
            <w:tcMar>
              <w:top w:w="90" w:type="dxa"/>
              <w:start w:w="100" w:type="dxa"/>
              <w:bottom w:w="90" w:type="dxa"/>
              <w:end w:w="100" w:type="dxa"/>
            </w:tcMar>
          </w:tcPr>
          <w:p>
            <w:pPr>
              <w:spacing w:after="0" w:line="240" w:lineRule="auto"/>
              <w:jc w:val="left"/>
            </w:pPr>
            <w:r>
              <w:rPr>
                <w:color w:val="232D37"/>
                <w:sz w:val="16"/>
              </w:rPr>
              <w:t>Time-bound lease, rapid setup and closure checklist.</w:t>
            </w:r>
          </w:p>
        </w:tc>
      </w:tr>
      <w:tr>
        <w:tc>
          <w:tcPr>
            <w:tcW w:type="dxa" w:w="2448"/>
            <w:vAlign w:val="center"/>
            <w:tcMar>
              <w:top w:w="90" w:type="dxa"/>
              <w:start w:w="100" w:type="dxa"/>
              <w:bottom w:w="90" w:type="dxa"/>
              <w:end w:w="100" w:type="dxa"/>
            </w:tcMar>
            <w:shd w:fill="F2F6FA"/>
          </w:tcPr>
          <w:p>
            <w:pPr>
              <w:spacing w:after="0" w:line="240" w:lineRule="auto"/>
              <w:jc w:val="center"/>
            </w:pPr>
            <w:r>
              <w:rPr>
                <w:color w:val="232D37"/>
                <w:sz w:val="16"/>
              </w:rPr>
              <w:t>Owned land / vacant property</w:t>
            </w:r>
          </w:p>
        </w:tc>
        <w:tc>
          <w:tcPr>
            <w:tcW w:type="dxa" w:w="7920"/>
            <w:vAlign w:val="center"/>
            <w:tcMar>
              <w:top w:w="90" w:type="dxa"/>
              <w:start w:w="100" w:type="dxa"/>
              <w:bottom w:w="90" w:type="dxa"/>
              <w:end w:w="100" w:type="dxa"/>
            </w:tcMar>
            <w:shd w:fill="F2F6FA"/>
          </w:tcPr>
          <w:p>
            <w:pPr>
              <w:spacing w:after="0" w:line="240" w:lineRule="auto"/>
              <w:jc w:val="left"/>
            </w:pPr>
            <w:r>
              <w:rPr>
                <w:color w:val="232D37"/>
                <w:sz w:val="16"/>
              </w:rPr>
              <w:t>Security, tax, insurance, boundary, inspection and development status.</w:t>
            </w:r>
          </w:p>
        </w:tc>
      </w:tr>
    </w:tbl>
    <w:p>
      <w:pPr>
        <w:spacing w:after="40"/>
      </w:pPr>
    </w:p>
    <w:p>
      <w:pPr>
        <w:pStyle w:val="Heading2"/>
        <w:keepNext/>
      </w:pPr>
      <w:r>
        <w:t>2.3 Location master: mandatory data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Data domain</w:t>
            </w:r>
          </w:p>
        </w:tc>
        <w:tc>
          <w:tcPr>
            <w:tcW w:type="dxa" w:w="8280"/>
            <w:shd w:fill="17365D"/>
            <w:vAlign w:val="center"/>
            <w:tcMar>
              <w:top w:w="90" w:type="dxa"/>
              <w:start w:w="100" w:type="dxa"/>
              <w:bottom w:w="90" w:type="dxa"/>
              <w:end w:w="100" w:type="dxa"/>
            </w:tcMar>
          </w:tcPr>
          <w:p>
            <w:pPr>
              <w:jc w:val="center"/>
            </w:pPr>
            <w:r>
              <w:rPr>
                <w:b/>
                <w:color w:val="FFFFFF"/>
                <w:sz w:val="16"/>
              </w:rPr>
              <w:t>Required attributes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Identity</w:t>
            </w:r>
          </w:p>
        </w:tc>
        <w:tc>
          <w:tcPr>
            <w:tcW w:type="dxa" w:w="8280"/>
            <w:vAlign w:val="center"/>
            <w:tcMar>
              <w:top w:w="90" w:type="dxa"/>
              <w:start w:w="100" w:type="dxa"/>
              <w:bottom w:w="90" w:type="dxa"/>
              <w:end w:w="100" w:type="dxa"/>
            </w:tcMar>
          </w:tcPr>
          <w:p>
            <w:pPr>
              <w:spacing w:after="0" w:line="240" w:lineRule="auto"/>
              <w:jc w:val="left"/>
            </w:pPr>
            <w:r>
              <w:rPr>
                <w:color w:val="232D37"/>
                <w:sz w:val="16"/>
              </w:rPr>
              <w:t>Location ID, legacy IDs, name, status, opening date, closure date, aliases, location type, criticality tier.</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Organisation</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Group, legal entity, business unit, zone, region, cluster, branch code, reporting office and parent location.</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Address and geo</w:t>
            </w:r>
          </w:p>
        </w:tc>
        <w:tc>
          <w:tcPr>
            <w:tcW w:type="dxa" w:w="8280"/>
            <w:vAlign w:val="center"/>
            <w:tcMar>
              <w:top w:w="90" w:type="dxa"/>
              <w:start w:w="100" w:type="dxa"/>
              <w:bottom w:w="90" w:type="dxa"/>
              <w:end w:w="100" w:type="dxa"/>
            </w:tcMar>
          </w:tcPr>
          <w:p>
            <w:pPr>
              <w:spacing w:after="0" w:line="240" w:lineRule="auto"/>
              <w:jc w:val="left"/>
            </w:pPr>
            <w:r>
              <w:rPr>
                <w:color w:val="232D37"/>
                <w:sz w:val="16"/>
              </w:rPr>
              <w:t>Registered/service address, PIN/postcode, latitude, longitude, map boundary, landmark, time zone and jurisdiction.</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Financial</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Cost centre, profit centre, GL mapping, budget owner, tax registration, billing address, currency and bank/payment attributes.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Property</w:t>
            </w:r>
          </w:p>
        </w:tc>
        <w:tc>
          <w:tcPr>
            <w:tcW w:type="dxa" w:w="8280"/>
            <w:vAlign w:val="center"/>
            <w:tcMar>
              <w:top w:w="90" w:type="dxa"/>
              <w:start w:w="100" w:type="dxa"/>
              <w:bottom w:w="90" w:type="dxa"/>
              <w:end w:w="100" w:type="dxa"/>
            </w:tcMar>
          </w:tcPr>
          <w:p>
            <w:pPr>
              <w:spacing w:after="0" w:line="240" w:lineRule="auto"/>
              <w:jc w:val="left"/>
            </w:pPr>
            <w:r>
              <w:rPr>
                <w:color w:val="232D37"/>
                <w:sz w:val="16"/>
              </w:rPr>
              <w:t>Owned/leased/licensed, landlord, lease dates, rent escalation, deposit, notice period, carpet/built-up/chargeable area and valuation.</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Occupancy</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Operating hours, shifts, sanctioned seats, assigned seats, average attendance, visitor volume and customer footfall.</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Contacts</w:t>
            </w:r>
          </w:p>
        </w:tc>
        <w:tc>
          <w:tcPr>
            <w:tcW w:type="dxa" w:w="8280"/>
            <w:vAlign w:val="center"/>
            <w:tcMar>
              <w:top w:w="90" w:type="dxa"/>
              <w:start w:w="100" w:type="dxa"/>
              <w:bottom w:w="90" w:type="dxa"/>
              <w:end w:w="100" w:type="dxa"/>
            </w:tcMar>
          </w:tcPr>
          <w:p>
            <w:pPr>
              <w:spacing w:after="0" w:line="240" w:lineRule="auto"/>
              <w:jc w:val="left"/>
            </w:pPr>
            <w:r>
              <w:rPr>
                <w:color w:val="232D37"/>
                <w:sz w:val="16"/>
              </w:rPr>
              <w:t>Location head, facilities lead, administration SPOC, security officer, safety warden, IT support, landlord and emergency contacts.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Criticality</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Business impact tier, services delivered, cash handling, customer-facing status, recovery time target and alternate site.</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Infrastructure</w:t>
            </w:r>
          </w:p>
        </w:tc>
        <w:tc>
          <w:tcPr>
            <w:tcW w:type="dxa" w:w="8280"/>
            <w:vAlign w:val="center"/>
            <w:tcMar>
              <w:top w:w="90" w:type="dxa"/>
              <w:start w:w="100" w:type="dxa"/>
              <w:bottom w:w="90" w:type="dxa"/>
              <w:end w:w="100" w:type="dxa"/>
            </w:tcMar>
          </w:tcPr>
          <w:p>
            <w:pPr>
              <w:spacing w:after="0" w:line="240" w:lineRule="auto"/>
              <w:jc w:val="left"/>
            </w:pPr>
            <w:r>
              <w:rPr>
                <w:color w:val="232D37"/>
                <w:sz w:val="16"/>
              </w:rPr>
              <w:t>Utility connections, sanctioned load, backup hours, water source, HVAC type, fire category, lifts and special systems.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Compliance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Required licences/NOCs, local inspections, insurance, accessibility, pollution/waste permissions and renewal owner.</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Service bundle</w:t>
            </w:r>
          </w:p>
        </w:tc>
        <w:tc>
          <w:tcPr>
            <w:tcW w:type="dxa" w:w="8280"/>
            <w:vAlign w:val="center"/>
            <w:tcMar>
              <w:top w:w="90" w:type="dxa"/>
              <w:start w:w="100" w:type="dxa"/>
              <w:bottom w:w="90" w:type="dxa"/>
              <w:end w:w="100" w:type="dxa"/>
            </w:tcMar>
          </w:tcPr>
          <w:p>
            <w:pPr>
              <w:spacing w:after="0" w:line="240" w:lineRule="auto"/>
              <w:jc w:val="left"/>
            </w:pPr>
            <w:r>
              <w:rPr>
                <w:color w:val="232D37"/>
                <w:sz w:val="16"/>
              </w:rPr>
              <w:t>Applicable service catalogue, SLA class, vendor coverage, rate card, frequency and escalation matrix.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Documents</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Lease, floor plans, approvals, photographs, handover pack, insurance, audit records and statutory certificates.</w:t>
            </w:r>
          </w:p>
        </w:tc>
      </w:tr>
    </w:tbl>
    <w:p>
      <w:pPr>
        <w:spacing w:after="40"/>
      </w:pPr>
    </w:p>
    <w:p>
      <w:pPr>
        <w:pStyle w:val="Heading1"/>
        <w:keepNext/>
      </w:pPr>
      <w:r>
        <w:t>3. Physical Infrastructure and Space Catalogue</w:t>
      </w:r>
    </w:p>
    <w:p>
      <w:pPr>
        <w:pStyle w:val="Heading2"/>
        <w:keepNext/>
      </w:pPr>
      <w:r>
        <w:t>3.1 Building and civil infrastructure</w:t>
      </w:r>
    </w:p>
    <w:p>
      <w:pPr>
        <w:pStyle w:val="ListBullet"/>
      </w:pPr>
      <w:r>
        <w:t>Structure, facade, roof, waterproofing, doors, partitions, ceilings, flooring, painting, signage and wayfinding.</w:t>
      </w:r>
    </w:p>
    <w:p>
      <w:pPr>
        <w:pStyle w:val="ListBullet"/>
      </w:pPr>
      <w:r>
        <w:t>Customer-facing counters, reception, queue barriers, accessibility ramps, tactile paths and accessible washrooms.</w:t>
      </w:r>
    </w:p>
    <w:p>
      <w:pPr>
        <w:pStyle w:val="ListBullet"/>
      </w:pPr>
      <w:r>
        <w:t>Vaults, strong rooms, secure storage, record rooms, cash cabins and controlled zones where applicable.</w:t>
      </w:r>
    </w:p>
    <w:p>
      <w:pPr>
        <w:pStyle w:val="ListBullet"/>
      </w:pPr>
      <w:r>
        <w:t>Workstations, cabins, meeting rooms, training rooms, wellness rooms, cafeterias, pantries, creches, medical rooms and recreation areas.</w:t>
      </w:r>
    </w:p>
    <w:p>
      <w:pPr>
        <w:pStyle w:val="ListBullet"/>
      </w:pPr>
      <w:r>
        <w:t>External areas including parking, landscape, boundary wall, gates, storm-water drainage, loading areas and approach roads.</w:t>
      </w:r>
    </w:p>
    <w:p>
      <w:pPr>
        <w:pStyle w:val="Heading2"/>
        <w:keepNext/>
      </w:pPr>
      <w:r>
        <w:t>3.2 Engineering and technology infrastructure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6"/>
              </w:rPr>
              <w:t>System family</w:t>
            </w:r>
          </w:p>
        </w:tc>
        <w:tc>
          <w:tcPr>
            <w:tcW w:type="dxa" w:w="8136"/>
            <w:shd w:fill="17365D"/>
            <w:vAlign w:val="center"/>
            <w:tcMar>
              <w:top w:w="90" w:type="dxa"/>
              <w:start w:w="100" w:type="dxa"/>
              <w:bottom w:w="90" w:type="dxa"/>
              <w:end w:w="100" w:type="dxa"/>
            </w:tcMar>
          </w:tcPr>
          <w:p>
            <w:pPr>
              <w:jc w:val="center"/>
            </w:pPr>
            <w:r>
              <w:rPr>
                <w:b/>
                <w:color w:val="FFFFFF"/>
                <w:sz w:val="16"/>
              </w:rPr>
              <w:t>Typical components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Electrical</w:t>
            </w:r>
          </w:p>
        </w:tc>
        <w:tc>
          <w:tcPr>
            <w:tcW w:type="dxa" w:w="8136"/>
            <w:vAlign w:val="center"/>
            <w:tcMar>
              <w:top w:w="90" w:type="dxa"/>
              <w:start w:w="100" w:type="dxa"/>
              <w:bottom w:w="90" w:type="dxa"/>
              <w:end w:w="100" w:type="dxa"/>
            </w:tcMar>
          </w:tcPr>
          <w:p>
            <w:pPr>
              <w:spacing w:after="0" w:line="240" w:lineRule="auto"/>
              <w:jc w:val="left"/>
            </w:pPr>
            <w:r>
              <w:rPr>
                <w:color w:val="232D37"/>
                <w:sz w:val="16"/>
              </w:rPr>
              <w:t>HT/LT panels, transformers, switchgear, UPS, batteries, DG sets, earthing, lightning protection, power factor, meters, distribution boards and emergency lighting.</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HVAC</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Chillers, VRF/VRV, AHUs, PAC units, split ACs, ventilation, BMS controls, air quality sensors, filters and condensate systems.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Fire and life safety</w:t>
            </w:r>
          </w:p>
        </w:tc>
        <w:tc>
          <w:tcPr>
            <w:tcW w:type="dxa" w:w="8136"/>
            <w:vAlign w:val="center"/>
            <w:tcMar>
              <w:top w:w="90" w:type="dxa"/>
              <w:start w:w="100" w:type="dxa"/>
              <w:bottom w:w="90" w:type="dxa"/>
              <w:end w:w="100" w:type="dxa"/>
            </w:tcMar>
          </w:tcPr>
          <w:p>
            <w:pPr>
              <w:spacing w:after="0" w:line="240" w:lineRule="auto"/>
              <w:jc w:val="left"/>
            </w:pPr>
            <w:r>
              <w:rPr>
                <w:color w:val="232D37"/>
                <w:sz w:val="16"/>
              </w:rPr>
              <w:t>Detection, alarm, suppression, sprinklers, hydrants, extinguishers, smoke control, public address, emergency exits and evacuation aids.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Water and plumbing</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Municipal/borewell/tanker supply, tanks, pumps, treatment, drinking water, drainage, sewage treatment, grease traps and rainwater harvesting.</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Vertical transport</w:t>
            </w:r>
          </w:p>
        </w:tc>
        <w:tc>
          <w:tcPr>
            <w:tcW w:type="dxa" w:w="8136"/>
            <w:vAlign w:val="center"/>
            <w:tcMar>
              <w:top w:w="90" w:type="dxa"/>
              <w:start w:w="100" w:type="dxa"/>
              <w:bottom w:w="90" w:type="dxa"/>
              <w:end w:w="100" w:type="dxa"/>
            </w:tcMar>
          </w:tcPr>
          <w:p>
            <w:pPr>
              <w:spacing w:after="0" w:line="240" w:lineRule="auto"/>
              <w:jc w:val="left"/>
            </w:pPr>
            <w:r>
              <w:rPr>
                <w:color w:val="232D37"/>
                <w:sz w:val="16"/>
              </w:rPr>
              <w:t>Passenger/service lifts, escalators and accessibility lifts, with statutory inspection and rescue procedures.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Security</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Access control, CCTV, intrusion alarm, visitor management, boom barriers, baggage scanners, guard-tour and key management.</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ICT interface</w:t>
            </w:r>
          </w:p>
        </w:tc>
        <w:tc>
          <w:tcPr>
            <w:tcW w:type="dxa" w:w="8136"/>
            <w:vAlign w:val="center"/>
            <w:tcMar>
              <w:top w:w="90" w:type="dxa"/>
              <w:start w:w="100" w:type="dxa"/>
              <w:bottom w:w="90" w:type="dxa"/>
              <w:end w:w="100" w:type="dxa"/>
            </w:tcMar>
          </w:tcPr>
          <w:p>
            <w:pPr>
              <w:spacing w:after="0" w:line="240" w:lineRule="auto"/>
              <w:jc w:val="left"/>
            </w:pPr>
            <w:r>
              <w:rPr>
                <w:color w:val="232D37"/>
                <w:sz w:val="16"/>
              </w:rPr>
              <w:t>Structured cabling, racks, Wi-Fi, meeting-room AV, digital signage, clocks, public-address and branch queue systems.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Smart building / IoT</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BMS, energy meters, occupancy, temperature, humidity, indoor air quality, leak, vibration and equipment-health sensors.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Kitchen and food</w:t>
            </w:r>
          </w:p>
        </w:tc>
        <w:tc>
          <w:tcPr>
            <w:tcW w:type="dxa" w:w="8136"/>
            <w:vAlign w:val="center"/>
            <w:tcMar>
              <w:top w:w="90" w:type="dxa"/>
              <w:start w:w="100" w:type="dxa"/>
              <w:bottom w:w="90" w:type="dxa"/>
              <w:end w:w="100" w:type="dxa"/>
            </w:tcMar>
          </w:tcPr>
          <w:p>
            <w:pPr>
              <w:spacing w:after="0" w:line="240" w:lineRule="auto"/>
              <w:jc w:val="left"/>
            </w:pPr>
            <w:r>
              <w:rPr>
                <w:color w:val="232D37"/>
                <w:sz w:val="16"/>
              </w:rPr>
              <w:t>Cooking/exhaust, LPG/PNG safety, refrigeration, dishwashing, grease management, vending and food-service counters.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Special infrastructure</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Data rooms, labs, command centres, studios, trading floors, ATMs, strong rooms and high-density collaboration facilities.</w:t>
            </w:r>
          </w:p>
        </w:tc>
      </w:tr>
    </w:tbl>
    <w:p>
      <w:pPr>
        <w:spacing w:after="40"/>
      </w:pPr>
    </w:p>
    <w:p>
      <w:pPr>
        <w:pStyle w:val="Heading2"/>
        <w:keepNext/>
      </w:pPr>
      <w:r>
        <w:t>3.3 Space master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Field group</w:t>
            </w:r>
          </w:p>
        </w:tc>
        <w:tc>
          <w:tcPr>
            <w:tcW w:type="dxa" w:w="8280"/>
            <w:shd w:fill="17365D"/>
            <w:vAlign w:val="center"/>
            <w:tcMar>
              <w:top w:w="90" w:type="dxa"/>
              <w:start w:w="100" w:type="dxa"/>
              <w:bottom w:w="90" w:type="dxa"/>
              <w:end w:w="100" w:type="dxa"/>
            </w:tcMar>
          </w:tcPr>
          <w:p>
            <w:pPr>
              <w:jc w:val="center"/>
            </w:pPr>
            <w:r>
              <w:rPr>
                <w:b/>
                <w:color w:val="FFFFFF"/>
                <w:sz w:val="16"/>
              </w:rPr>
              <w:t>Examples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Identification</w:t>
            </w:r>
          </w:p>
        </w:tc>
        <w:tc>
          <w:tcPr>
            <w:tcW w:type="dxa" w:w="8280"/>
            <w:vAlign w:val="center"/>
            <w:tcMar>
              <w:top w:w="90" w:type="dxa"/>
              <w:start w:w="100" w:type="dxa"/>
              <w:bottom w:w="90" w:type="dxa"/>
              <w:end w:w="100" w:type="dxa"/>
            </w:tcMar>
          </w:tcPr>
          <w:p>
            <w:pPr>
              <w:spacing w:after="0" w:line="240" w:lineRule="auto"/>
              <w:jc w:val="left"/>
            </w:pPr>
            <w:r>
              <w:rPr>
                <w:color w:val="232D37"/>
                <w:sz w:val="16"/>
              </w:rPr>
              <w:t>Building, floor, zone, room ID, space name, space type, parent space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Dimensions</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Carpet area, usable area, capacity, workstation count, ceiling height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Use and ownership</w:t>
            </w:r>
          </w:p>
        </w:tc>
        <w:tc>
          <w:tcPr>
            <w:tcW w:type="dxa" w:w="8280"/>
            <w:vAlign w:val="center"/>
            <w:tcMar>
              <w:top w:w="90" w:type="dxa"/>
              <w:start w:w="100" w:type="dxa"/>
              <w:bottom w:w="90" w:type="dxa"/>
              <w:end w:w="100" w:type="dxa"/>
            </w:tcMar>
          </w:tcPr>
          <w:p>
            <w:pPr>
              <w:spacing w:after="0" w:line="240" w:lineRule="auto"/>
              <w:jc w:val="left"/>
            </w:pPr>
            <w:r>
              <w:rPr>
                <w:color w:val="232D37"/>
                <w:sz w:val="16"/>
              </w:rPr>
              <w:t>Department, neighbourhood, restricted/public status, operating hours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Experience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Accessibility, acoustic class, daylight, indoor-air-quality zone, amenities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Booking</w:t>
            </w:r>
          </w:p>
        </w:tc>
        <w:tc>
          <w:tcPr>
            <w:tcW w:type="dxa" w:w="8280"/>
            <w:vAlign w:val="center"/>
            <w:tcMar>
              <w:top w:w="90" w:type="dxa"/>
              <w:start w:w="100" w:type="dxa"/>
              <w:bottom w:w="90" w:type="dxa"/>
              <w:end w:w="100" w:type="dxa"/>
            </w:tcMar>
          </w:tcPr>
          <w:p>
            <w:pPr>
              <w:spacing w:after="0" w:line="240" w:lineRule="auto"/>
              <w:jc w:val="left"/>
            </w:pPr>
            <w:r>
              <w:rPr>
                <w:color w:val="232D37"/>
                <w:sz w:val="16"/>
              </w:rPr>
              <w:t>Bookable flag, minimum/maximum duration, setup time, eligibility, cancellation rule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Safety</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Occupancy limit, fire zone, evacuation route, assembly point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Technology</w:t>
            </w:r>
          </w:p>
        </w:tc>
        <w:tc>
          <w:tcPr>
            <w:tcW w:type="dxa" w:w="8280"/>
            <w:vAlign w:val="center"/>
            <w:tcMar>
              <w:top w:w="90" w:type="dxa"/>
              <w:start w:w="100" w:type="dxa"/>
              <w:bottom w:w="90" w:type="dxa"/>
              <w:end w:w="100" w:type="dxa"/>
            </w:tcMar>
          </w:tcPr>
          <w:p>
            <w:pPr>
              <w:spacing w:after="0" w:line="240" w:lineRule="auto"/>
              <w:jc w:val="left"/>
            </w:pPr>
            <w:r>
              <w:rPr>
                <w:color w:val="232D37"/>
                <w:sz w:val="16"/>
              </w:rPr>
              <w:t>AV profile, connectivity, sensors, room panel and support group</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Cost</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Rent allocation, utilities allocation, service-charge basis and internal chargeback</w:t>
            </w:r>
          </w:p>
        </w:tc>
      </w:tr>
    </w:tbl>
    <w:p>
      <w:pPr>
        <w:spacing w:after="40"/>
      </w:pPr>
    </w:p>
    <w:p>
      <w:pPr>
        <w:pStyle w:val="Heading1"/>
        <w:keepNext/>
      </w:pPr>
      <w:r>
        <w:t>4. Enterprise Service Catalogue</w:t>
      </w:r>
    </w:p>
    <w:p>
      <w:pPr>
        <w:spacing w:after="120" w:line="269" w:lineRule="auto"/>
      </w:pPr>
      <w:r>
        <w:t>Each service should be configured as a catalogue item with scope, eligibility, request channel, required inputs, approval route, SLA, service window, fulfilment team, vendor, rate card, evidence, customer communication, closure code and cost-allocation rule.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6"/>
              </w:rPr>
              <w:t>Service family</w:t>
            </w:r>
          </w:p>
        </w:tc>
        <w:tc>
          <w:tcPr>
            <w:tcW w:type="dxa" w:w="3960"/>
            <w:shd w:fill="17365D"/>
            <w:vAlign w:val="center"/>
            <w:tcMar>
              <w:top w:w="90" w:type="dxa"/>
              <w:start w:w="100" w:type="dxa"/>
              <w:bottom w:w="90" w:type="dxa"/>
              <w:end w:w="100" w:type="dxa"/>
            </w:tcMar>
          </w:tcPr>
          <w:p>
            <w:pPr>
              <w:jc w:val="center"/>
            </w:pPr>
            <w:r>
              <w:rPr>
                <w:b/>
                <w:color w:val="FFFFFF"/>
                <w:sz w:val="16"/>
              </w:rPr>
              <w:t>Scope</w:t>
            </w:r>
          </w:p>
        </w:tc>
        <w:tc>
          <w:tcPr>
            <w:tcW w:type="dxa" w:w="1800"/>
            <w:shd w:fill="17365D"/>
            <w:vAlign w:val="center"/>
            <w:tcMar>
              <w:top w:w="90" w:type="dxa"/>
              <w:start w:w="100" w:type="dxa"/>
              <w:bottom w:w="90" w:type="dxa"/>
              <w:end w:w="100" w:type="dxa"/>
            </w:tcMar>
          </w:tcPr>
          <w:p>
            <w:pPr>
              <w:jc w:val="center"/>
            </w:pPr>
            <w:r>
              <w:rPr>
                <w:b/>
                <w:color w:val="FFFFFF"/>
                <w:sz w:val="16"/>
              </w:rPr>
              <w:t>Charging basis</w:t>
            </w:r>
          </w:p>
        </w:tc>
        <w:tc>
          <w:tcPr>
            <w:tcW w:type="dxa" w:w="2880"/>
            <w:shd w:fill="17365D"/>
            <w:vAlign w:val="center"/>
            <w:tcMar>
              <w:top w:w="90" w:type="dxa"/>
              <w:start w:w="100" w:type="dxa"/>
              <w:bottom w:w="90" w:type="dxa"/>
              <w:end w:w="100" w:type="dxa"/>
            </w:tcMar>
          </w:tcPr>
          <w:p>
            <w:pPr>
              <w:jc w:val="center"/>
            </w:pPr>
            <w:r>
              <w:rPr>
                <w:b/>
                <w:color w:val="FFFFFF"/>
                <w:sz w:val="16"/>
              </w:rPr>
              <w:t>Minimum evidence</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Housekeeping</w:t>
            </w:r>
          </w:p>
        </w:tc>
        <w:tc>
          <w:tcPr>
            <w:tcW w:type="dxa" w:w="3960"/>
            <w:vAlign w:val="center"/>
            <w:tcMar>
              <w:top w:w="90" w:type="dxa"/>
              <w:start w:w="100" w:type="dxa"/>
              <w:bottom w:w="90" w:type="dxa"/>
              <w:end w:w="100" w:type="dxa"/>
            </w:tcMar>
          </w:tcPr>
          <w:p>
            <w:pPr>
              <w:spacing w:after="0" w:line="240" w:lineRule="auto"/>
              <w:jc w:val="left"/>
            </w:pPr>
            <w:r>
              <w:rPr>
                <w:color w:val="232D37"/>
                <w:sz w:val="16"/>
              </w:rPr>
              <w:t>Routine and deep cleaning, washroom, facade, pest control, waste handling</w:t>
            </w:r>
          </w:p>
        </w:tc>
        <w:tc>
          <w:tcPr>
            <w:tcW w:type="dxa" w:w="1800"/>
            <w:vAlign w:val="center"/>
            <w:tcMar>
              <w:top w:w="90" w:type="dxa"/>
              <w:start w:w="100" w:type="dxa"/>
              <w:bottom w:w="90" w:type="dxa"/>
              <w:end w:w="100" w:type="dxa"/>
            </w:tcMar>
          </w:tcPr>
          <w:p>
            <w:pPr>
              <w:spacing w:after="0" w:line="240" w:lineRule="auto"/>
              <w:jc w:val="left"/>
            </w:pPr>
            <w:r>
              <w:rPr>
                <w:color w:val="232D37"/>
                <w:sz w:val="16"/>
              </w:rPr>
              <w:t>Frequency + outcome</w:t>
            </w:r>
          </w:p>
        </w:tc>
        <w:tc>
          <w:tcPr>
            <w:tcW w:type="dxa" w:w="2880"/>
            <w:vAlign w:val="center"/>
            <w:tcMar>
              <w:top w:w="90" w:type="dxa"/>
              <w:start w:w="100" w:type="dxa"/>
              <w:bottom w:w="90" w:type="dxa"/>
              <w:end w:w="100" w:type="dxa"/>
            </w:tcMar>
          </w:tcPr>
          <w:p>
            <w:pPr>
              <w:spacing w:after="0" w:line="240" w:lineRule="auto"/>
              <w:jc w:val="left"/>
            </w:pPr>
            <w:r>
              <w:rPr>
                <w:color w:val="232D37"/>
                <w:sz w:val="16"/>
              </w:rPr>
              <w:t>Checklist, attendance, inspection score, photos</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Engineering maintenance</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Electrical, HVAC, plumbing, civil, fire, lifts, utilities</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Uptime + response</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Work order, readings, permit, service report</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Security interface</w:t>
            </w:r>
          </w:p>
        </w:tc>
        <w:tc>
          <w:tcPr>
            <w:tcW w:type="dxa" w:w="3960"/>
            <w:vAlign w:val="center"/>
            <w:tcMar>
              <w:top w:w="90" w:type="dxa"/>
              <w:start w:w="100" w:type="dxa"/>
              <w:bottom w:w="90" w:type="dxa"/>
              <w:end w:w="100" w:type="dxa"/>
            </w:tcMar>
          </w:tcPr>
          <w:p>
            <w:pPr>
              <w:spacing w:after="0" w:line="240" w:lineRule="auto"/>
              <w:jc w:val="left"/>
            </w:pPr>
            <w:r>
              <w:rPr>
                <w:color w:val="232D37"/>
                <w:sz w:val="16"/>
              </w:rPr>
              <w:t>Guarding, access, CCTV, visitor, incident and key control</w:t>
            </w:r>
          </w:p>
        </w:tc>
        <w:tc>
          <w:tcPr>
            <w:tcW w:type="dxa" w:w="1800"/>
            <w:vAlign w:val="center"/>
            <w:tcMar>
              <w:top w:w="90" w:type="dxa"/>
              <w:start w:w="100" w:type="dxa"/>
              <w:bottom w:w="90" w:type="dxa"/>
              <w:end w:w="100" w:type="dxa"/>
            </w:tcMar>
          </w:tcPr>
          <w:p>
            <w:pPr>
              <w:spacing w:after="0" w:line="240" w:lineRule="auto"/>
              <w:jc w:val="center"/>
            </w:pPr>
            <w:r>
              <w:rPr>
                <w:color w:val="232D37"/>
                <w:sz w:val="16"/>
              </w:rPr>
              <w:t>Post + risk</w:t>
            </w:r>
          </w:p>
        </w:tc>
        <w:tc>
          <w:tcPr>
            <w:tcW w:type="dxa" w:w="2880"/>
            <w:vAlign w:val="center"/>
            <w:tcMar>
              <w:top w:w="90" w:type="dxa"/>
              <w:start w:w="100" w:type="dxa"/>
              <w:bottom w:w="90" w:type="dxa"/>
              <w:end w:w="100" w:type="dxa"/>
            </w:tcMar>
          </w:tcPr>
          <w:p>
            <w:pPr>
              <w:spacing w:after="0" w:line="240" w:lineRule="auto"/>
              <w:jc w:val="left"/>
            </w:pPr>
            <w:r>
              <w:rPr>
                <w:color w:val="232D37"/>
                <w:sz w:val="16"/>
              </w:rPr>
              <w:t>Roster, patrol, incident log, footage request</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Workplace / space</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Moves, seats, rooms, events, signage and ergonomics</w:t>
            </w:r>
          </w:p>
        </w:tc>
        <w:tc>
          <w:tcPr>
            <w:tcW w:type="dxa" w:w="1800"/>
            <w:vAlign w:val="center"/>
            <w:tcMar>
              <w:top w:w="90" w:type="dxa"/>
              <w:start w:w="100" w:type="dxa"/>
              <w:bottom w:w="90" w:type="dxa"/>
              <w:end w:w="100" w:type="dxa"/>
            </w:tcMar>
            <w:shd w:fill="F2F6FA"/>
          </w:tcPr>
          <w:p>
            <w:pPr>
              <w:spacing w:after="0" w:line="240" w:lineRule="auto"/>
              <w:jc w:val="left"/>
            </w:pPr>
            <w:r>
              <w:rPr>
                <w:color w:val="232D37"/>
                <w:sz w:val="16"/>
              </w:rPr>
              <w:t>Request + capacity</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Approval, layout, booking, handover</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Food / pantry</w:t>
            </w:r>
          </w:p>
        </w:tc>
        <w:tc>
          <w:tcPr>
            <w:tcW w:type="dxa" w:w="3960"/>
            <w:vAlign w:val="center"/>
            <w:tcMar>
              <w:top w:w="90" w:type="dxa"/>
              <w:start w:w="100" w:type="dxa"/>
              <w:bottom w:w="90" w:type="dxa"/>
              <w:end w:w="100" w:type="dxa"/>
            </w:tcMar>
          </w:tcPr>
          <w:p>
            <w:pPr>
              <w:spacing w:after="0" w:line="240" w:lineRule="auto"/>
              <w:jc w:val="left"/>
            </w:pPr>
            <w:r>
              <w:rPr>
                <w:color w:val="232D37"/>
                <w:sz w:val="16"/>
              </w:rPr>
              <w:t>Vending, tea/coffee, cafeteria, catering and water</w:t>
            </w:r>
          </w:p>
        </w:tc>
        <w:tc>
          <w:tcPr>
            <w:tcW w:type="dxa" w:w="1800"/>
            <w:vAlign w:val="center"/>
            <w:tcMar>
              <w:top w:w="90" w:type="dxa"/>
              <w:start w:w="100" w:type="dxa"/>
              <w:bottom w:w="90" w:type="dxa"/>
              <w:end w:w="100" w:type="dxa"/>
            </w:tcMar>
          </w:tcPr>
          <w:p>
            <w:pPr>
              <w:spacing w:after="0" w:line="240" w:lineRule="auto"/>
              <w:jc w:val="left"/>
            </w:pPr>
            <w:r>
              <w:rPr>
                <w:color w:val="232D37"/>
                <w:sz w:val="16"/>
              </w:rPr>
              <w:t>Headcount + consumption</w:t>
            </w:r>
          </w:p>
        </w:tc>
        <w:tc>
          <w:tcPr>
            <w:tcW w:type="dxa" w:w="2880"/>
            <w:vAlign w:val="center"/>
            <w:tcMar>
              <w:top w:w="90" w:type="dxa"/>
              <w:start w:w="100" w:type="dxa"/>
              <w:bottom w:w="90" w:type="dxa"/>
              <w:end w:w="100" w:type="dxa"/>
            </w:tcMar>
          </w:tcPr>
          <w:p>
            <w:pPr>
              <w:spacing w:after="0" w:line="240" w:lineRule="auto"/>
              <w:jc w:val="left"/>
            </w:pPr>
            <w:r>
              <w:rPr>
                <w:color w:val="232D37"/>
                <w:sz w:val="16"/>
              </w:rPr>
              <w:t>Menu/rate, hygiene check, consumption</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Transport interface</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Cab/shuttle, parking and visitor vehicle support</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Trip/route/seat</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Roster, GPS/attendance, exception</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Mailroom / logistics</w:t>
            </w:r>
          </w:p>
        </w:tc>
        <w:tc>
          <w:tcPr>
            <w:tcW w:type="dxa" w:w="3960"/>
            <w:vAlign w:val="center"/>
            <w:tcMar>
              <w:top w:w="90" w:type="dxa"/>
              <w:start w:w="100" w:type="dxa"/>
              <w:bottom w:w="90" w:type="dxa"/>
              <w:end w:w="100" w:type="dxa"/>
            </w:tcMar>
          </w:tcPr>
          <w:p>
            <w:pPr>
              <w:spacing w:after="0" w:line="240" w:lineRule="auto"/>
              <w:jc w:val="left"/>
            </w:pPr>
            <w:r>
              <w:rPr>
                <w:color w:val="232D37"/>
                <w:sz w:val="16"/>
              </w:rPr>
              <w:t>Courier, inward/outward mail, internal distribution and storage</w:t>
            </w:r>
          </w:p>
        </w:tc>
        <w:tc>
          <w:tcPr>
            <w:tcW w:type="dxa" w:w="1800"/>
            <w:vAlign w:val="center"/>
            <w:tcMar>
              <w:top w:w="90" w:type="dxa"/>
              <w:start w:w="100" w:type="dxa"/>
              <w:bottom w:w="90" w:type="dxa"/>
              <w:end w:w="100" w:type="dxa"/>
            </w:tcMar>
          </w:tcPr>
          <w:p>
            <w:pPr>
              <w:spacing w:after="0" w:line="240" w:lineRule="auto"/>
              <w:jc w:val="center"/>
            </w:pPr>
            <w:r>
              <w:rPr>
                <w:color w:val="232D37"/>
                <w:sz w:val="16"/>
              </w:rPr>
              <w:t>Shipment/item</w:t>
            </w:r>
          </w:p>
        </w:tc>
        <w:tc>
          <w:tcPr>
            <w:tcW w:type="dxa" w:w="2880"/>
            <w:vAlign w:val="center"/>
            <w:tcMar>
              <w:top w:w="90" w:type="dxa"/>
              <w:start w:w="100" w:type="dxa"/>
              <w:bottom w:w="90" w:type="dxa"/>
              <w:end w:w="100" w:type="dxa"/>
            </w:tcMar>
          </w:tcPr>
          <w:p>
            <w:pPr>
              <w:spacing w:after="0" w:line="240" w:lineRule="auto"/>
              <w:jc w:val="left"/>
            </w:pPr>
            <w:r>
              <w:rPr>
                <w:color w:val="232D37"/>
                <w:sz w:val="16"/>
              </w:rPr>
              <w:t>Dispatch proof, tracking, receipt</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Stationery / printing</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Standard and controlled stationery, toners and print services</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Issue/usage</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Indent, issue slip, stock and acknowledgement</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Asset support</w:t>
            </w:r>
          </w:p>
        </w:tc>
        <w:tc>
          <w:tcPr>
            <w:tcW w:type="dxa" w:w="3960"/>
            <w:vAlign w:val="center"/>
            <w:tcMar>
              <w:top w:w="90" w:type="dxa"/>
              <w:start w:w="100" w:type="dxa"/>
              <w:bottom w:w="90" w:type="dxa"/>
              <w:end w:w="100" w:type="dxa"/>
            </w:tcMar>
          </w:tcPr>
          <w:p>
            <w:pPr>
              <w:spacing w:after="0" w:line="240" w:lineRule="auto"/>
              <w:jc w:val="left"/>
            </w:pPr>
            <w:r>
              <w:rPr>
                <w:color w:val="232D37"/>
                <w:sz w:val="16"/>
              </w:rPr>
              <w:t>Issue, return, movement, repair, calibration and disposal</w:t>
            </w:r>
          </w:p>
        </w:tc>
        <w:tc>
          <w:tcPr>
            <w:tcW w:type="dxa" w:w="1800"/>
            <w:vAlign w:val="center"/>
            <w:tcMar>
              <w:top w:w="90" w:type="dxa"/>
              <w:start w:w="100" w:type="dxa"/>
              <w:bottom w:w="90" w:type="dxa"/>
              <w:end w:w="100" w:type="dxa"/>
            </w:tcMar>
          </w:tcPr>
          <w:p>
            <w:pPr>
              <w:spacing w:after="0" w:line="240" w:lineRule="auto"/>
              <w:jc w:val="center"/>
            </w:pPr>
            <w:r>
              <w:rPr>
                <w:color w:val="232D37"/>
                <w:sz w:val="16"/>
              </w:rPr>
              <w:t>Asset lifecycle</w:t>
            </w:r>
          </w:p>
        </w:tc>
        <w:tc>
          <w:tcPr>
            <w:tcW w:type="dxa" w:w="2880"/>
            <w:vAlign w:val="center"/>
            <w:tcMar>
              <w:top w:w="90" w:type="dxa"/>
              <w:start w:w="100" w:type="dxa"/>
              <w:bottom w:w="90" w:type="dxa"/>
              <w:end w:w="100" w:type="dxa"/>
            </w:tcMar>
          </w:tcPr>
          <w:p>
            <w:pPr>
              <w:spacing w:after="0" w:line="240" w:lineRule="auto"/>
              <w:jc w:val="left"/>
            </w:pPr>
            <w:r>
              <w:rPr>
                <w:color w:val="232D37"/>
                <w:sz w:val="16"/>
              </w:rPr>
              <w:t>Tag, custodian, condition, approval</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Events and hospitality</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Town halls, meetings, training, awards and executive visits</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Event plan</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Checklist, vendors, attendees and cost</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Real estate / lease</w:t>
            </w:r>
          </w:p>
        </w:tc>
        <w:tc>
          <w:tcPr>
            <w:tcW w:type="dxa" w:w="3960"/>
            <w:vAlign w:val="center"/>
            <w:tcMar>
              <w:top w:w="90" w:type="dxa"/>
              <w:start w:w="100" w:type="dxa"/>
              <w:bottom w:w="90" w:type="dxa"/>
              <w:end w:w="100" w:type="dxa"/>
            </w:tcMar>
          </w:tcPr>
          <w:p>
            <w:pPr>
              <w:spacing w:after="0" w:line="240" w:lineRule="auto"/>
              <w:jc w:val="left"/>
            </w:pPr>
            <w:r>
              <w:rPr>
                <w:color w:val="232D37"/>
                <w:sz w:val="16"/>
              </w:rPr>
              <w:t>New site, renewals, rent, exits, landlord issues and projects</w:t>
            </w:r>
          </w:p>
        </w:tc>
        <w:tc>
          <w:tcPr>
            <w:tcW w:type="dxa" w:w="1800"/>
            <w:vAlign w:val="center"/>
            <w:tcMar>
              <w:top w:w="90" w:type="dxa"/>
              <w:start w:w="100" w:type="dxa"/>
              <w:bottom w:w="90" w:type="dxa"/>
              <w:end w:w="100" w:type="dxa"/>
            </w:tcMar>
          </w:tcPr>
          <w:p>
            <w:pPr>
              <w:spacing w:after="0" w:line="240" w:lineRule="auto"/>
              <w:jc w:val="center"/>
            </w:pPr>
            <w:r>
              <w:rPr>
                <w:color w:val="232D37"/>
                <w:sz w:val="16"/>
              </w:rPr>
              <w:t>Milestone</w:t>
            </w:r>
          </w:p>
        </w:tc>
        <w:tc>
          <w:tcPr>
            <w:tcW w:type="dxa" w:w="2880"/>
            <w:vAlign w:val="center"/>
            <w:tcMar>
              <w:top w:w="90" w:type="dxa"/>
              <w:start w:w="100" w:type="dxa"/>
              <w:bottom w:w="90" w:type="dxa"/>
              <w:end w:w="100" w:type="dxa"/>
            </w:tcMar>
          </w:tcPr>
          <w:p>
            <w:pPr>
              <w:spacing w:after="0" w:line="240" w:lineRule="auto"/>
              <w:jc w:val="left"/>
            </w:pPr>
            <w:r>
              <w:rPr>
                <w:color w:val="232D37"/>
                <w:sz w:val="16"/>
              </w:rPr>
              <w:t>Approvals, documents, financial impact</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Employee helpdesk</w:t>
            </w:r>
          </w:p>
        </w:tc>
        <w:tc>
          <w:tcPr>
            <w:tcW w:type="dxa" w:w="3960"/>
            <w:vAlign w:val="center"/>
            <w:tcMar>
              <w:top w:w="90" w:type="dxa"/>
              <w:start w:w="100" w:type="dxa"/>
              <w:bottom w:w="90" w:type="dxa"/>
              <w:end w:w="100" w:type="dxa"/>
            </w:tcMar>
            <w:shd w:fill="F2F6FA"/>
          </w:tcPr>
          <w:p>
            <w:pPr>
              <w:spacing w:after="0" w:line="240" w:lineRule="auto"/>
              <w:jc w:val="left"/>
            </w:pPr>
            <w:r>
              <w:rPr>
                <w:color w:val="232D37"/>
                <w:sz w:val="16"/>
              </w:rPr>
              <w:t>Complaints, service requests, feedback and lost-and-found</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Ticket</w:t>
            </w:r>
          </w:p>
        </w:tc>
        <w:tc>
          <w:tcPr>
            <w:tcW w:type="dxa" w:w="2880"/>
            <w:vAlign w:val="center"/>
            <w:tcMar>
              <w:top w:w="90" w:type="dxa"/>
              <w:start w:w="100" w:type="dxa"/>
              <w:bottom w:w="90" w:type="dxa"/>
              <w:end w:w="100" w:type="dxa"/>
            </w:tcMar>
            <w:shd w:fill="F2F6FA"/>
          </w:tcPr>
          <w:p>
            <w:pPr>
              <w:spacing w:after="0" w:line="240" w:lineRule="auto"/>
              <w:jc w:val="left"/>
            </w:pPr>
            <w:r>
              <w:rPr>
                <w:color w:val="232D37"/>
                <w:sz w:val="16"/>
              </w:rPr>
              <w:t>Timestamp, SLA, communication and rating</w:t>
            </w:r>
          </w:p>
        </w:tc>
      </w:tr>
    </w:tbl>
    <w:p>
      <w:pPr>
        <w:spacing w:after="40"/>
      </w:pPr>
    </w:p>
    <w:p>
      <w:pPr>
        <w:pStyle w:val="Heading2"/>
        <w:keepNext/>
      </w:pPr>
      <w:r>
        <w:t>4.1 Service catalogue fields</w:t>
      </w:r>
    </w:p>
    <w:p>
      <w:pPr>
        <w:pStyle w:val="ListBullet"/>
      </w:pPr>
      <w:r>
        <w:t>Service ID, service family, service item, description, inclusions, exclusions and dependencies.</w:t>
      </w:r>
    </w:p>
    <w:p>
      <w:pPr>
        <w:pStyle w:val="ListBullet"/>
      </w:pPr>
      <w:r>
        <w:t>Eligible requester, applicable site types, criticality-based priority and operating window.</w:t>
      </w:r>
    </w:p>
    <w:p>
      <w:pPr>
        <w:pStyle w:val="ListBullet"/>
      </w:pPr>
      <w:r>
        <w:t>Mandatory request fields, attachment requirements, approval conditions and fulfilment checklist.</w:t>
      </w:r>
    </w:p>
    <w:p>
      <w:pPr>
        <w:pStyle w:val="ListBullet"/>
      </w:pPr>
      <w:r>
        <w:t>Response, attendance, resolution and restoration SLAs; pause rules and business-calendar mapping.</w:t>
      </w:r>
    </w:p>
    <w:p>
      <w:pPr>
        <w:pStyle w:val="ListBullet"/>
      </w:pPr>
      <w:r>
        <w:t>Internal team, primary vendor, backup vendor, escalation chain and after-hours contact.</w:t>
      </w:r>
    </w:p>
    <w:p>
      <w:pPr>
        <w:pStyle w:val="ListBullet"/>
      </w:pPr>
      <w:r>
        <w:t>Unit of measure, rate, tax, minimum billing, escalation formula, free entitlement and chargeback rule.</w:t>
      </w:r>
    </w:p>
    <w:p>
      <w:pPr>
        <w:pStyle w:val="ListBullet"/>
      </w:pPr>
      <w:r>
        <w:t>Closure codes, customer acceptance, quality inspection, evidence retention and reopening conditions.</w:t>
      </w:r>
    </w:p>
    <w:p>
      <w:pPr>
        <w:pStyle w:val="Heading1"/>
        <w:keepNext/>
      </w:pPr>
      <w:r>
        <w:t>5. Asset, Equipment and AMC Management</w:t>
      </w:r>
    </w:p>
    <w:p>
      <w:pPr>
        <w:pStyle w:val="Heading2"/>
        <w:keepNext/>
      </w:pPr>
      <w:r>
        <w:t>5.1 Asset classification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Asset class</w:t>
            </w:r>
          </w:p>
        </w:tc>
        <w:tc>
          <w:tcPr>
            <w:tcW w:type="dxa" w:w="6336"/>
            <w:shd w:fill="17365D"/>
            <w:vAlign w:val="center"/>
            <w:tcMar>
              <w:top w:w="90" w:type="dxa"/>
              <w:start w:w="100" w:type="dxa"/>
              <w:bottom w:w="90" w:type="dxa"/>
              <w:end w:w="100" w:type="dxa"/>
            </w:tcMar>
          </w:tcPr>
          <w:p>
            <w:pPr>
              <w:jc w:val="center"/>
            </w:pPr>
            <w:r>
              <w:rPr>
                <w:b/>
                <w:color w:val="FFFFFF"/>
                <w:sz w:val="16"/>
              </w:rPr>
              <w:t>Examples</w:t>
            </w:r>
          </w:p>
        </w:tc>
        <w:tc>
          <w:tcPr>
            <w:tcW w:type="dxa" w:w="2016"/>
            <w:shd w:fill="17365D"/>
            <w:vAlign w:val="center"/>
            <w:tcMar>
              <w:top w:w="90" w:type="dxa"/>
              <w:start w:w="100" w:type="dxa"/>
              <w:bottom w:w="90" w:type="dxa"/>
              <w:end w:w="100" w:type="dxa"/>
            </w:tcMar>
          </w:tcPr>
          <w:p>
            <w:pPr>
              <w:jc w:val="center"/>
            </w:pPr>
            <w:r>
              <w:rPr>
                <w:b/>
                <w:color w:val="FFFFFF"/>
                <w:sz w:val="16"/>
              </w:rPr>
              <w:t>Tracking approach</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Land/building</w:t>
            </w:r>
          </w:p>
        </w:tc>
        <w:tc>
          <w:tcPr>
            <w:tcW w:type="dxa" w:w="6336"/>
            <w:vAlign w:val="center"/>
            <w:tcMar>
              <w:top w:w="90" w:type="dxa"/>
              <w:start w:w="100" w:type="dxa"/>
              <w:bottom w:w="90" w:type="dxa"/>
              <w:end w:w="100" w:type="dxa"/>
            </w:tcMar>
          </w:tcPr>
          <w:p>
            <w:pPr>
              <w:spacing w:after="0" w:line="240" w:lineRule="auto"/>
              <w:jc w:val="left"/>
            </w:pPr>
            <w:r>
              <w:rPr>
                <w:color w:val="232D37"/>
                <w:sz w:val="16"/>
              </w:rPr>
              <w:t>Land parcels, buildings, leasehold improvements</w:t>
            </w:r>
          </w:p>
        </w:tc>
        <w:tc>
          <w:tcPr>
            <w:tcW w:type="dxa" w:w="2016"/>
            <w:vAlign w:val="center"/>
            <w:tcMar>
              <w:top w:w="90" w:type="dxa"/>
              <w:start w:w="100" w:type="dxa"/>
              <w:bottom w:w="90" w:type="dxa"/>
              <w:end w:w="100" w:type="dxa"/>
            </w:tcMar>
          </w:tcPr>
          <w:p>
            <w:pPr>
              <w:spacing w:after="0" w:line="240" w:lineRule="auto"/>
              <w:jc w:val="left"/>
            </w:pPr>
            <w:r>
              <w:rPr>
                <w:color w:val="232D37"/>
                <w:sz w:val="16"/>
              </w:rPr>
              <w:t>Property ID / component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Electrical</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Transformer, DG, UPS, batteries, panels, stabilisers</w:t>
            </w:r>
          </w:p>
        </w:tc>
        <w:tc>
          <w:tcPr>
            <w:tcW w:type="dxa" w:w="2016"/>
            <w:vAlign w:val="center"/>
            <w:tcMar>
              <w:top w:w="90" w:type="dxa"/>
              <w:start w:w="100" w:type="dxa"/>
              <w:bottom w:w="90" w:type="dxa"/>
              <w:end w:w="100" w:type="dxa"/>
            </w:tcMar>
            <w:shd w:fill="F2F6FA"/>
          </w:tcPr>
          <w:p>
            <w:pPr>
              <w:spacing w:after="0" w:line="240" w:lineRule="auto"/>
              <w:jc w:val="left"/>
            </w:pPr>
            <w:r>
              <w:rPr>
                <w:color w:val="232D37"/>
                <w:sz w:val="16"/>
              </w:rPr>
              <w:t>Maintainable asset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HVAC</w:t>
            </w:r>
          </w:p>
        </w:tc>
        <w:tc>
          <w:tcPr>
            <w:tcW w:type="dxa" w:w="6336"/>
            <w:vAlign w:val="center"/>
            <w:tcMar>
              <w:top w:w="90" w:type="dxa"/>
              <w:start w:w="100" w:type="dxa"/>
              <w:bottom w:w="90" w:type="dxa"/>
              <w:end w:w="100" w:type="dxa"/>
            </w:tcMar>
          </w:tcPr>
          <w:p>
            <w:pPr>
              <w:spacing w:after="0" w:line="240" w:lineRule="auto"/>
              <w:jc w:val="left"/>
            </w:pPr>
            <w:r>
              <w:rPr>
                <w:color w:val="232D37"/>
                <w:sz w:val="16"/>
              </w:rPr>
              <w:t>Chiller, AHU, VRF outdoor/indoor, PAC, split AC</w:t>
            </w:r>
          </w:p>
        </w:tc>
        <w:tc>
          <w:tcPr>
            <w:tcW w:type="dxa" w:w="2016"/>
            <w:vAlign w:val="center"/>
            <w:tcMar>
              <w:top w:w="90" w:type="dxa"/>
              <w:start w:w="100" w:type="dxa"/>
              <w:bottom w:w="90" w:type="dxa"/>
              <w:end w:w="100" w:type="dxa"/>
            </w:tcMar>
          </w:tcPr>
          <w:p>
            <w:pPr>
              <w:spacing w:after="0" w:line="240" w:lineRule="auto"/>
              <w:jc w:val="left"/>
            </w:pPr>
            <w:r>
              <w:rPr>
                <w:color w:val="232D37"/>
                <w:sz w:val="16"/>
              </w:rPr>
              <w:t>Maintainable asset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Fire and safety</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Panels, detectors, pumps, extinguishers, suppression</w:t>
            </w:r>
          </w:p>
        </w:tc>
        <w:tc>
          <w:tcPr>
            <w:tcW w:type="dxa" w:w="2016"/>
            <w:vAlign w:val="center"/>
            <w:tcMar>
              <w:top w:w="90" w:type="dxa"/>
              <w:start w:w="100" w:type="dxa"/>
              <w:bottom w:w="90" w:type="dxa"/>
              <w:end w:w="100" w:type="dxa"/>
            </w:tcMar>
            <w:shd w:fill="F2F6FA"/>
          </w:tcPr>
          <w:p>
            <w:pPr>
              <w:spacing w:after="0" w:line="240" w:lineRule="auto"/>
              <w:jc w:val="left"/>
            </w:pPr>
            <w:r>
              <w:rPr>
                <w:color w:val="232D37"/>
                <w:sz w:val="16"/>
              </w:rPr>
              <w:t>System + component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Security</w:t>
            </w:r>
          </w:p>
        </w:tc>
        <w:tc>
          <w:tcPr>
            <w:tcW w:type="dxa" w:w="6336"/>
            <w:vAlign w:val="center"/>
            <w:tcMar>
              <w:top w:w="90" w:type="dxa"/>
              <w:start w:w="100" w:type="dxa"/>
              <w:bottom w:w="90" w:type="dxa"/>
              <w:end w:w="100" w:type="dxa"/>
            </w:tcMar>
          </w:tcPr>
          <w:p>
            <w:pPr>
              <w:spacing w:after="0" w:line="240" w:lineRule="auto"/>
              <w:jc w:val="left"/>
            </w:pPr>
            <w:r>
              <w:rPr>
                <w:color w:val="232D37"/>
                <w:sz w:val="16"/>
              </w:rPr>
              <w:t>CCTV, NVR/DVR, access controllers, barriers, scanners</w:t>
            </w:r>
          </w:p>
        </w:tc>
        <w:tc>
          <w:tcPr>
            <w:tcW w:type="dxa" w:w="2016"/>
            <w:vAlign w:val="center"/>
            <w:tcMar>
              <w:top w:w="90" w:type="dxa"/>
              <w:start w:w="100" w:type="dxa"/>
              <w:bottom w:w="90" w:type="dxa"/>
              <w:end w:w="100" w:type="dxa"/>
            </w:tcMar>
          </w:tcPr>
          <w:p>
            <w:pPr>
              <w:spacing w:after="0" w:line="240" w:lineRule="auto"/>
              <w:jc w:val="center"/>
            </w:pPr>
            <w:r>
              <w:rPr>
                <w:color w:val="232D37"/>
                <w:sz w:val="16"/>
              </w:rPr>
              <w:t>Serialized asset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Office equipment</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Printers, shredders, scanners, franking, safes</w:t>
            </w:r>
          </w:p>
        </w:tc>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Serialized/pooled</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Furniture and fixtures</w:t>
            </w:r>
          </w:p>
        </w:tc>
        <w:tc>
          <w:tcPr>
            <w:tcW w:type="dxa" w:w="6336"/>
            <w:vAlign w:val="center"/>
            <w:tcMar>
              <w:top w:w="90" w:type="dxa"/>
              <w:start w:w="100" w:type="dxa"/>
              <w:bottom w:w="90" w:type="dxa"/>
              <w:end w:w="100" w:type="dxa"/>
            </w:tcMar>
          </w:tcPr>
          <w:p>
            <w:pPr>
              <w:spacing w:after="0" w:line="240" w:lineRule="auto"/>
              <w:jc w:val="left"/>
            </w:pPr>
            <w:r>
              <w:rPr>
                <w:color w:val="232D37"/>
                <w:sz w:val="16"/>
              </w:rPr>
              <w:t>Workstations, chairs, storage, counters, blinds</w:t>
            </w:r>
          </w:p>
        </w:tc>
        <w:tc>
          <w:tcPr>
            <w:tcW w:type="dxa" w:w="2016"/>
            <w:vAlign w:val="center"/>
            <w:tcMar>
              <w:top w:w="90" w:type="dxa"/>
              <w:start w:w="100" w:type="dxa"/>
              <w:bottom w:w="90" w:type="dxa"/>
              <w:end w:w="100" w:type="dxa"/>
            </w:tcMar>
          </w:tcPr>
          <w:p>
            <w:pPr>
              <w:spacing w:after="0" w:line="240" w:lineRule="auto"/>
              <w:jc w:val="left"/>
            </w:pPr>
            <w:r>
              <w:rPr>
                <w:color w:val="232D37"/>
                <w:sz w:val="16"/>
              </w:rPr>
              <w:t>Serialized/bulk quantity</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Pantry/food</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Vending, refrigerator, microwave, RO, dishwasher</w:t>
            </w:r>
          </w:p>
        </w:tc>
        <w:tc>
          <w:tcPr>
            <w:tcW w:type="dxa" w:w="2016"/>
            <w:vAlign w:val="center"/>
            <w:tcMar>
              <w:top w:w="90" w:type="dxa"/>
              <w:start w:w="100" w:type="dxa"/>
              <w:bottom w:w="90" w:type="dxa"/>
              <w:end w:w="100" w:type="dxa"/>
            </w:tcMar>
            <w:shd w:fill="F2F6FA"/>
          </w:tcPr>
          <w:p>
            <w:pPr>
              <w:spacing w:after="0" w:line="240" w:lineRule="auto"/>
              <w:jc w:val="left"/>
            </w:pPr>
            <w:r>
              <w:rPr>
                <w:color w:val="232D37"/>
                <w:sz w:val="16"/>
              </w:rPr>
              <w:t>Maintainable asset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AV/collaboration</w:t>
            </w:r>
          </w:p>
        </w:tc>
        <w:tc>
          <w:tcPr>
            <w:tcW w:type="dxa" w:w="6336"/>
            <w:vAlign w:val="center"/>
            <w:tcMar>
              <w:top w:w="90" w:type="dxa"/>
              <w:start w:w="100" w:type="dxa"/>
              <w:bottom w:w="90" w:type="dxa"/>
              <w:end w:w="100" w:type="dxa"/>
            </w:tcMar>
          </w:tcPr>
          <w:p>
            <w:pPr>
              <w:spacing w:after="0" w:line="240" w:lineRule="auto"/>
              <w:jc w:val="left"/>
            </w:pPr>
            <w:r>
              <w:rPr>
                <w:color w:val="232D37"/>
                <w:sz w:val="16"/>
              </w:rPr>
              <w:t>Displays, projectors, room systems, microphones</w:t>
            </w:r>
          </w:p>
        </w:tc>
        <w:tc>
          <w:tcPr>
            <w:tcW w:type="dxa" w:w="2016"/>
            <w:vAlign w:val="center"/>
            <w:tcMar>
              <w:top w:w="90" w:type="dxa"/>
              <w:start w:w="100" w:type="dxa"/>
              <w:bottom w:w="90" w:type="dxa"/>
              <w:end w:w="100" w:type="dxa"/>
            </w:tcMar>
          </w:tcPr>
          <w:p>
            <w:pPr>
              <w:spacing w:after="0" w:line="240" w:lineRule="auto"/>
              <w:jc w:val="center"/>
            </w:pPr>
            <w:r>
              <w:rPr>
                <w:color w:val="232D37"/>
                <w:sz w:val="16"/>
              </w:rPr>
              <w:t>Serialized asset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Plumbing/water</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Pumps, tanks, treatment plant, dispensers</w:t>
            </w:r>
          </w:p>
        </w:tc>
        <w:tc>
          <w:tcPr>
            <w:tcW w:type="dxa" w:w="2016"/>
            <w:vAlign w:val="center"/>
            <w:tcMar>
              <w:top w:w="90" w:type="dxa"/>
              <w:start w:w="100" w:type="dxa"/>
              <w:bottom w:w="90" w:type="dxa"/>
              <w:end w:w="100" w:type="dxa"/>
            </w:tcMar>
            <w:shd w:fill="F2F6FA"/>
          </w:tcPr>
          <w:p>
            <w:pPr>
              <w:spacing w:after="0" w:line="240" w:lineRule="auto"/>
              <w:jc w:val="left"/>
            </w:pPr>
            <w:r>
              <w:rPr>
                <w:color w:val="232D37"/>
                <w:sz w:val="16"/>
              </w:rPr>
              <w:t>System + component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Vehicles/material handling</w:t>
            </w:r>
          </w:p>
        </w:tc>
        <w:tc>
          <w:tcPr>
            <w:tcW w:type="dxa" w:w="6336"/>
            <w:vAlign w:val="center"/>
            <w:tcMar>
              <w:top w:w="90" w:type="dxa"/>
              <w:start w:w="100" w:type="dxa"/>
              <w:bottom w:w="90" w:type="dxa"/>
              <w:end w:w="100" w:type="dxa"/>
            </w:tcMar>
          </w:tcPr>
          <w:p>
            <w:pPr>
              <w:spacing w:after="0" w:line="240" w:lineRule="auto"/>
              <w:jc w:val="left"/>
            </w:pPr>
            <w:r>
              <w:rPr>
                <w:color w:val="232D37"/>
                <w:sz w:val="16"/>
              </w:rPr>
              <w:t>Cars, utility vehicles, trolleys, forklifts</w:t>
            </w:r>
          </w:p>
        </w:tc>
        <w:tc>
          <w:tcPr>
            <w:tcW w:type="dxa" w:w="2016"/>
            <w:vAlign w:val="center"/>
            <w:tcMar>
              <w:top w:w="90" w:type="dxa"/>
              <w:start w:w="100" w:type="dxa"/>
              <w:bottom w:w="90" w:type="dxa"/>
              <w:end w:w="100" w:type="dxa"/>
            </w:tcMar>
          </w:tcPr>
          <w:p>
            <w:pPr>
              <w:spacing w:after="0" w:line="240" w:lineRule="auto"/>
              <w:jc w:val="center"/>
            </w:pPr>
            <w:r>
              <w:rPr>
                <w:color w:val="232D37"/>
                <w:sz w:val="16"/>
              </w:rPr>
              <w:t>Registered asset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Low-value items</w:t>
            </w:r>
          </w:p>
        </w:tc>
        <w:tc>
          <w:tcPr>
            <w:tcW w:type="dxa" w:w="6336"/>
            <w:vAlign w:val="center"/>
            <w:tcMar>
              <w:top w:w="90" w:type="dxa"/>
              <w:start w:w="100" w:type="dxa"/>
              <w:bottom w:w="90" w:type="dxa"/>
              <w:end w:w="100" w:type="dxa"/>
            </w:tcMar>
            <w:shd w:fill="F2F6FA"/>
          </w:tcPr>
          <w:p>
            <w:pPr>
              <w:spacing w:after="0" w:line="240" w:lineRule="auto"/>
              <w:jc w:val="left"/>
            </w:pPr>
            <w:r>
              <w:rPr>
                <w:color w:val="232D37"/>
                <w:sz w:val="16"/>
              </w:rPr>
              <w:t>Fans, lamps, small appliances, tools</w:t>
            </w:r>
          </w:p>
        </w:tc>
        <w:tc>
          <w:tcPr>
            <w:tcW w:type="dxa" w:w="2016"/>
            <w:vAlign w:val="center"/>
            <w:tcMar>
              <w:top w:w="90" w:type="dxa"/>
              <w:start w:w="100" w:type="dxa"/>
              <w:bottom w:w="90" w:type="dxa"/>
              <w:end w:w="100" w:type="dxa"/>
            </w:tcMar>
            <w:shd w:fill="F2F6FA"/>
          </w:tcPr>
          <w:p>
            <w:pPr>
              <w:spacing w:after="0" w:line="240" w:lineRule="auto"/>
              <w:jc w:val="left"/>
            </w:pPr>
            <w:r>
              <w:rPr>
                <w:color w:val="232D37"/>
                <w:sz w:val="16"/>
              </w:rPr>
              <w:t>Controlled inventory</w:t>
            </w:r>
          </w:p>
        </w:tc>
      </w:tr>
    </w:tbl>
    <w:p>
      <w:pPr>
        <w:spacing w:after="40"/>
      </w:pPr>
    </w:p>
    <w:p>
      <w:pPr>
        <w:pStyle w:val="Heading2"/>
        <w:keepNext/>
      </w:pPr>
      <w:r>
        <w:t>5.2 Asset master: mandatory fields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6"/>
              </w:rPr>
              <w:t>Domain</w:t>
            </w:r>
          </w:p>
        </w:tc>
        <w:tc>
          <w:tcPr>
            <w:tcW w:type="dxa" w:w="8424"/>
            <w:shd w:fill="17365D"/>
            <w:vAlign w:val="center"/>
            <w:tcMar>
              <w:top w:w="90" w:type="dxa"/>
              <w:start w:w="100" w:type="dxa"/>
              <w:bottom w:w="90" w:type="dxa"/>
              <w:end w:w="100" w:type="dxa"/>
            </w:tcMar>
          </w:tcPr>
          <w:p>
            <w:pPr>
              <w:jc w:val="center"/>
            </w:pPr>
            <w:r>
              <w:rPr>
                <w:b/>
                <w:color w:val="FFFFFF"/>
                <w:sz w:val="16"/>
              </w:rPr>
              <w:t>Fields</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Identity</w:t>
            </w:r>
          </w:p>
        </w:tc>
        <w:tc>
          <w:tcPr>
            <w:tcW w:type="dxa" w:w="8424"/>
            <w:vAlign w:val="center"/>
            <w:tcMar>
              <w:top w:w="90" w:type="dxa"/>
              <w:start w:w="100" w:type="dxa"/>
              <w:bottom w:w="90" w:type="dxa"/>
              <w:end w:w="100" w:type="dxa"/>
            </w:tcMar>
          </w:tcPr>
          <w:p>
            <w:pPr>
              <w:spacing w:after="0" w:line="240" w:lineRule="auto"/>
              <w:jc w:val="left"/>
            </w:pPr>
            <w:r>
              <w:rPr>
                <w:color w:val="232D37"/>
                <w:sz w:val="16"/>
              </w:rPr>
              <w:t>Asset ID/tag, barcode/QR/RFID, item code, category, make, model, serial number and description.</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Ownership</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Legal entity, owner department, funding source, capitalization flag and fixed-asset number.</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Location</w:t>
            </w:r>
          </w:p>
        </w:tc>
        <w:tc>
          <w:tcPr>
            <w:tcW w:type="dxa" w:w="8424"/>
            <w:vAlign w:val="center"/>
            <w:tcMar>
              <w:top w:w="90" w:type="dxa"/>
              <w:start w:w="100" w:type="dxa"/>
              <w:bottom w:w="90" w:type="dxa"/>
              <w:end w:w="100" w:type="dxa"/>
            </w:tcMar>
          </w:tcPr>
          <w:p>
            <w:pPr>
              <w:spacing w:after="0" w:line="240" w:lineRule="auto"/>
              <w:jc w:val="left"/>
            </w:pPr>
            <w:r>
              <w:rPr>
                <w:color w:val="232D37"/>
                <w:sz w:val="16"/>
              </w:rPr>
              <w:t>Site, building, floor, room, geo-coordinate, functional position and parent system.</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Commercial</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Supplier, PO, invoice, acquisition date, landed cost, tax, warranty, useful life and residual value.</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Technical</w:t>
            </w:r>
          </w:p>
        </w:tc>
        <w:tc>
          <w:tcPr>
            <w:tcW w:type="dxa" w:w="8424"/>
            <w:vAlign w:val="center"/>
            <w:tcMar>
              <w:top w:w="90" w:type="dxa"/>
              <w:start w:w="100" w:type="dxa"/>
              <w:bottom w:w="90" w:type="dxa"/>
              <w:end w:w="100" w:type="dxa"/>
            </w:tcMar>
          </w:tcPr>
          <w:p>
            <w:pPr>
              <w:spacing w:after="0" w:line="240" w:lineRule="auto"/>
              <w:jc w:val="left"/>
            </w:pPr>
            <w:r>
              <w:rPr>
                <w:color w:val="232D37"/>
                <w:sz w:val="16"/>
              </w:rPr>
              <w:t>Capacity, rating, specification, installation date, commissioning date and operating parameters.</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Custody</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Custodian, user, department, issue date, acknowledgement and return status.</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Maintenance</w:t>
            </w:r>
          </w:p>
        </w:tc>
        <w:tc>
          <w:tcPr>
            <w:tcW w:type="dxa" w:w="8424"/>
            <w:vAlign w:val="center"/>
            <w:tcMar>
              <w:top w:w="90" w:type="dxa"/>
              <w:start w:w="100" w:type="dxa"/>
              <w:bottom w:w="90" w:type="dxa"/>
              <w:end w:w="100" w:type="dxa"/>
            </w:tcMar>
          </w:tcPr>
          <w:p>
            <w:pPr>
              <w:spacing w:after="0" w:line="240" w:lineRule="auto"/>
              <w:jc w:val="left"/>
            </w:pPr>
            <w:r>
              <w:rPr>
                <w:color w:val="232D37"/>
                <w:sz w:val="16"/>
              </w:rPr>
              <w:t>Criticality, maintenance strategy, frequency, job plan, meter, spare list, AMC and service provider.</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Condition</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New/good/fair/poor, health score, downtime, failure history, inspection and replacement year.</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Compliance</w:t>
            </w:r>
          </w:p>
        </w:tc>
        <w:tc>
          <w:tcPr>
            <w:tcW w:type="dxa" w:w="8424"/>
            <w:vAlign w:val="center"/>
            <w:tcMar>
              <w:top w:w="90" w:type="dxa"/>
              <w:start w:w="100" w:type="dxa"/>
              <w:bottom w:w="90" w:type="dxa"/>
              <w:end w:w="100" w:type="dxa"/>
            </w:tcMar>
          </w:tcPr>
          <w:p>
            <w:pPr>
              <w:spacing w:after="0" w:line="240" w:lineRule="auto"/>
              <w:jc w:val="left"/>
            </w:pPr>
            <w:r>
              <w:rPr>
                <w:color w:val="232D37"/>
                <w:sz w:val="16"/>
              </w:rPr>
              <w:t>Calibration, statutory certificate, licence, insurance, test date and next due date.</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Accounting</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Asset class, GL, depreciation method/rate, accumulated depreciation, net book value and impairment.</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Lifecycle</w:t>
            </w:r>
          </w:p>
        </w:tc>
        <w:tc>
          <w:tcPr>
            <w:tcW w:type="dxa" w:w="8424"/>
            <w:vAlign w:val="center"/>
            <w:tcMar>
              <w:top w:w="90" w:type="dxa"/>
              <w:start w:w="100" w:type="dxa"/>
              <w:bottom w:w="90" w:type="dxa"/>
              <w:end w:w="100" w:type="dxa"/>
            </w:tcMar>
          </w:tcPr>
          <w:p>
            <w:pPr>
              <w:spacing w:after="0" w:line="240" w:lineRule="auto"/>
              <w:jc w:val="left"/>
            </w:pPr>
            <w:r>
              <w:rPr>
                <w:color w:val="232D37"/>
                <w:sz w:val="16"/>
              </w:rPr>
              <w:t>Transfer, repair, cannibalisation, write-off, sale, scrap, e-waste certificate and disposal proceeds.</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Documents</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Datasheet, warranty, manuals, drawings, photographs, service reports and disposal evidence.</w:t>
            </w:r>
          </w:p>
        </w:tc>
      </w:tr>
    </w:tbl>
    <w:p>
      <w:pPr>
        <w:spacing w:after="40"/>
      </w:pPr>
    </w:p>
    <w:p>
      <w:pPr>
        <w:pStyle w:val="Heading2"/>
        <w:keepNext/>
      </w:pPr>
      <w:r>
        <w:t>5.3 AMC and maintenance contract model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6"/>
              </w:rPr>
              <w:t>Contract element</w:t>
            </w:r>
          </w:p>
        </w:tc>
        <w:tc>
          <w:tcPr>
            <w:tcW w:type="dxa" w:w="8136"/>
            <w:shd w:fill="17365D"/>
            <w:vAlign w:val="center"/>
            <w:tcMar>
              <w:top w:w="90" w:type="dxa"/>
              <w:start w:w="100" w:type="dxa"/>
              <w:bottom w:w="90" w:type="dxa"/>
              <w:end w:w="100" w:type="dxa"/>
            </w:tcMar>
          </w:tcPr>
          <w:p>
            <w:pPr>
              <w:jc w:val="center"/>
            </w:pPr>
            <w:r>
              <w:rPr>
                <w:b/>
                <w:color w:val="FFFFFF"/>
                <w:sz w:val="16"/>
              </w:rPr>
              <w:t>Required control</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Coverage</w:t>
            </w:r>
          </w:p>
        </w:tc>
        <w:tc>
          <w:tcPr>
            <w:tcW w:type="dxa" w:w="8136"/>
            <w:vAlign w:val="center"/>
            <w:tcMar>
              <w:top w:w="90" w:type="dxa"/>
              <w:start w:w="100" w:type="dxa"/>
              <w:bottom w:w="90" w:type="dxa"/>
              <w:end w:w="100" w:type="dxa"/>
            </w:tcMar>
          </w:tcPr>
          <w:p>
            <w:pPr>
              <w:spacing w:after="0" w:line="240" w:lineRule="auto"/>
              <w:jc w:val="left"/>
            </w:pPr>
            <w:r>
              <w:rPr>
                <w:color w:val="232D37"/>
                <w:sz w:val="16"/>
              </w:rPr>
              <w:t>Comprehensive/non-comprehensive, labour, spares, consumables, software, travel and exclusions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Asset mapping</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Every covered asset/system linked with serial number, location, start/end date and SLA</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Preventive maintenance</w:t>
            </w:r>
          </w:p>
        </w:tc>
        <w:tc>
          <w:tcPr>
            <w:tcW w:type="dxa" w:w="8136"/>
            <w:vAlign w:val="center"/>
            <w:tcMar>
              <w:top w:w="90" w:type="dxa"/>
              <w:start w:w="100" w:type="dxa"/>
              <w:bottom w:w="90" w:type="dxa"/>
              <w:end w:w="100" w:type="dxa"/>
            </w:tcMar>
          </w:tcPr>
          <w:p>
            <w:pPr>
              <w:spacing w:after="0" w:line="240" w:lineRule="auto"/>
              <w:jc w:val="left"/>
            </w:pPr>
            <w:r>
              <w:rPr>
                <w:color w:val="232D37"/>
                <w:sz w:val="16"/>
              </w:rPr>
              <w:t>Calendar, job plan, frequency, shutdown window, checklist and evidence</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Corrective maintenance</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Response/restoration targets, escalation, standby arrangement and repeat-failure review</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Uptime</w:t>
            </w:r>
          </w:p>
        </w:tc>
        <w:tc>
          <w:tcPr>
            <w:tcW w:type="dxa" w:w="8136"/>
            <w:vAlign w:val="center"/>
            <w:tcMar>
              <w:top w:w="90" w:type="dxa"/>
              <w:start w:w="100" w:type="dxa"/>
              <w:bottom w:w="90" w:type="dxa"/>
              <w:end w:w="100" w:type="dxa"/>
            </w:tcMar>
          </w:tcPr>
          <w:p>
            <w:pPr>
              <w:spacing w:after="0" w:line="240" w:lineRule="auto"/>
              <w:jc w:val="left"/>
            </w:pPr>
            <w:r>
              <w:rPr>
                <w:color w:val="232D37"/>
                <w:sz w:val="16"/>
              </w:rPr>
              <w:t>Availability formula, exclusions, measurement source, monthly target and penalty</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Commercials</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Asset-wise/site-wise price, taxes, escalation, payment schedule, retention and security deposit</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Spares</w:t>
            </w:r>
          </w:p>
        </w:tc>
        <w:tc>
          <w:tcPr>
            <w:tcW w:type="dxa" w:w="8136"/>
            <w:vAlign w:val="center"/>
            <w:tcMar>
              <w:top w:w="90" w:type="dxa"/>
              <w:start w:w="100" w:type="dxa"/>
              <w:bottom w:w="90" w:type="dxa"/>
              <w:end w:w="100" w:type="dxa"/>
            </w:tcMar>
          </w:tcPr>
          <w:p>
            <w:pPr>
              <w:spacing w:after="0" w:line="240" w:lineRule="auto"/>
              <w:jc w:val="left"/>
            </w:pPr>
            <w:r>
              <w:rPr>
                <w:color w:val="232D37"/>
                <w:sz w:val="16"/>
              </w:rPr>
              <w:t>Included/excluded list, minimum on-site stock, lead time, obsolete parts and OEM support</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Compliance</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Technician competency, insurance, permits, calibration, safety documents and background verification</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Billing</w:t>
            </w:r>
          </w:p>
        </w:tc>
        <w:tc>
          <w:tcPr>
            <w:tcW w:type="dxa" w:w="8136"/>
            <w:vAlign w:val="center"/>
            <w:tcMar>
              <w:top w:w="90" w:type="dxa"/>
              <w:start w:w="100" w:type="dxa"/>
              <w:bottom w:w="90" w:type="dxa"/>
              <w:end w:w="100" w:type="dxa"/>
            </w:tcMar>
          </w:tcPr>
          <w:p>
            <w:pPr>
              <w:spacing w:after="0" w:line="240" w:lineRule="auto"/>
              <w:jc w:val="left"/>
            </w:pPr>
            <w:r>
              <w:rPr>
                <w:color w:val="232D37"/>
                <w:sz w:val="16"/>
              </w:rPr>
              <w:t>PM completion, uptime, call closure, penalty, asset additions/deletions and pro-rata calculation</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Renewal</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Performance score, market benchmark, lifecycle plan, budget approval and renewal notice</w:t>
            </w:r>
          </w:p>
        </w:tc>
      </w:tr>
    </w:tbl>
    <w:p>
      <w:pPr>
        <w:spacing w:after="40"/>
      </w:pPr>
    </w:p>
    <w:p>
      <w:pPr>
        <w:pStyle w:val="Heading2"/>
        <w:keepNext/>
      </w:pPr>
      <w:r>
        <w:t>5.4 Preventive-maintenance schedule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90" w:type="dxa"/>
              <w:start w:w="100" w:type="dxa"/>
              <w:bottom w:w="90" w:type="dxa"/>
              <w:end w:w="100" w:type="dxa"/>
            </w:tcMar>
          </w:tcPr>
          <w:p>
            <w:pPr>
              <w:jc w:val="center"/>
            </w:pPr>
            <w:r>
              <w:rPr>
                <w:b/>
                <w:color w:val="FFFFFF"/>
                <w:sz w:val="16"/>
              </w:rPr>
              <w:t>Frequency</w:t>
            </w:r>
          </w:p>
        </w:tc>
        <w:tc>
          <w:tcPr>
            <w:tcW w:type="dxa" w:w="5256"/>
            <w:shd w:fill="17365D"/>
            <w:vAlign w:val="center"/>
            <w:tcMar>
              <w:top w:w="90" w:type="dxa"/>
              <w:start w:w="100" w:type="dxa"/>
              <w:bottom w:w="90" w:type="dxa"/>
              <w:end w:w="100" w:type="dxa"/>
            </w:tcMar>
          </w:tcPr>
          <w:p>
            <w:pPr>
              <w:jc w:val="center"/>
            </w:pPr>
            <w:r>
              <w:rPr>
                <w:b/>
                <w:color w:val="FFFFFF"/>
                <w:sz w:val="16"/>
              </w:rPr>
              <w:t>Examples</w:t>
            </w:r>
          </w:p>
        </w:tc>
        <w:tc>
          <w:tcPr>
            <w:tcW w:type="dxa" w:w="3384"/>
            <w:shd w:fill="17365D"/>
            <w:vAlign w:val="center"/>
            <w:tcMar>
              <w:top w:w="90" w:type="dxa"/>
              <w:start w:w="100" w:type="dxa"/>
              <w:bottom w:w="90" w:type="dxa"/>
              <w:end w:w="100" w:type="dxa"/>
            </w:tcMar>
          </w:tcPr>
          <w:p>
            <w:pPr>
              <w:jc w:val="center"/>
            </w:pPr>
            <w:r>
              <w:rPr>
                <w:b/>
                <w:color w:val="FFFFFF"/>
                <w:sz w:val="16"/>
              </w:rPr>
              <w:t>System action</w:t>
            </w:r>
          </w:p>
        </w:tc>
      </w:tr>
      <w:tr>
        <w:tc>
          <w:tcPr>
            <w:tcW w:type="dxa" w:w="1728"/>
            <w:vAlign w:val="center"/>
            <w:tcMar>
              <w:top w:w="90" w:type="dxa"/>
              <w:start w:w="100" w:type="dxa"/>
              <w:bottom w:w="90" w:type="dxa"/>
              <w:end w:w="100" w:type="dxa"/>
            </w:tcMar>
          </w:tcPr>
          <w:p>
            <w:pPr>
              <w:spacing w:after="0" w:line="240" w:lineRule="auto"/>
              <w:jc w:val="center"/>
            </w:pPr>
            <w:r>
              <w:rPr>
                <w:color w:val="232D37"/>
                <w:sz w:val="16"/>
              </w:rPr>
              <w:t>Daily/shift</w:t>
            </w:r>
          </w:p>
        </w:tc>
        <w:tc>
          <w:tcPr>
            <w:tcW w:type="dxa" w:w="5256"/>
            <w:vAlign w:val="center"/>
            <w:tcMar>
              <w:top w:w="90" w:type="dxa"/>
              <w:start w:w="100" w:type="dxa"/>
              <w:bottom w:w="90" w:type="dxa"/>
              <w:end w:w="100" w:type="dxa"/>
            </w:tcMar>
          </w:tcPr>
          <w:p>
            <w:pPr>
              <w:spacing w:after="0" w:line="240" w:lineRule="auto"/>
              <w:jc w:val="left"/>
            </w:pPr>
            <w:r>
              <w:rPr>
                <w:color w:val="232D37"/>
                <w:sz w:val="16"/>
              </w:rPr>
              <w:t>Critical readings, alarms, cleanliness and operator checks</w:t>
            </w:r>
          </w:p>
        </w:tc>
        <w:tc>
          <w:tcPr>
            <w:tcW w:type="dxa" w:w="3384"/>
            <w:vAlign w:val="center"/>
            <w:tcMar>
              <w:top w:w="90" w:type="dxa"/>
              <w:start w:w="100" w:type="dxa"/>
              <w:bottom w:w="90" w:type="dxa"/>
              <w:end w:w="100" w:type="dxa"/>
            </w:tcMar>
          </w:tcPr>
          <w:p>
            <w:pPr>
              <w:spacing w:after="0" w:line="240" w:lineRule="auto"/>
              <w:jc w:val="left"/>
            </w:pPr>
            <w:r>
              <w:rPr>
                <w:color w:val="232D37"/>
                <w:sz w:val="16"/>
              </w:rPr>
              <w:t>Mobile checklist, abnormal reading alert and handover</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6"/>
              </w:rPr>
              <w:t>Weekly</w:t>
            </w:r>
          </w:p>
        </w:tc>
        <w:tc>
          <w:tcPr>
            <w:tcW w:type="dxa" w:w="5256"/>
            <w:vAlign w:val="center"/>
            <w:tcMar>
              <w:top w:w="90" w:type="dxa"/>
              <w:start w:w="100" w:type="dxa"/>
              <w:bottom w:w="90" w:type="dxa"/>
              <w:end w:w="100" w:type="dxa"/>
            </w:tcMar>
            <w:shd w:fill="F2F6FA"/>
          </w:tcPr>
          <w:p>
            <w:pPr>
              <w:spacing w:after="0" w:line="240" w:lineRule="auto"/>
              <w:jc w:val="left"/>
            </w:pPr>
            <w:r>
              <w:rPr>
                <w:color w:val="232D37"/>
                <w:sz w:val="16"/>
              </w:rPr>
              <w:t>DG trial, pump changeover, fire-panel test and leak inspection</w:t>
            </w:r>
          </w:p>
        </w:tc>
        <w:tc>
          <w:tcPr>
            <w:tcW w:type="dxa" w:w="3384"/>
            <w:vAlign w:val="center"/>
            <w:tcMar>
              <w:top w:w="90" w:type="dxa"/>
              <w:start w:w="100" w:type="dxa"/>
              <w:bottom w:w="90" w:type="dxa"/>
              <w:end w:w="100" w:type="dxa"/>
            </w:tcMar>
            <w:shd w:fill="F2F6FA"/>
          </w:tcPr>
          <w:p>
            <w:pPr>
              <w:spacing w:after="0" w:line="240" w:lineRule="auto"/>
              <w:jc w:val="left"/>
            </w:pPr>
            <w:r>
              <w:rPr>
                <w:color w:val="232D37"/>
                <w:sz w:val="16"/>
              </w:rPr>
              <w:t>Auto work order and exception escalation</w:t>
            </w:r>
          </w:p>
        </w:tc>
      </w:tr>
      <w:tr>
        <w:tc>
          <w:tcPr>
            <w:tcW w:type="dxa" w:w="1728"/>
            <w:vAlign w:val="center"/>
            <w:tcMar>
              <w:top w:w="90" w:type="dxa"/>
              <w:start w:w="100" w:type="dxa"/>
              <w:bottom w:w="90" w:type="dxa"/>
              <w:end w:w="100" w:type="dxa"/>
            </w:tcMar>
          </w:tcPr>
          <w:p>
            <w:pPr>
              <w:spacing w:after="0" w:line="240" w:lineRule="auto"/>
              <w:jc w:val="center"/>
            </w:pPr>
            <w:r>
              <w:rPr>
                <w:color w:val="232D37"/>
                <w:sz w:val="16"/>
              </w:rPr>
              <w:t>Monthly</w:t>
            </w:r>
          </w:p>
        </w:tc>
        <w:tc>
          <w:tcPr>
            <w:tcW w:type="dxa" w:w="5256"/>
            <w:vAlign w:val="center"/>
            <w:tcMar>
              <w:top w:w="90" w:type="dxa"/>
              <w:start w:w="100" w:type="dxa"/>
              <w:bottom w:w="90" w:type="dxa"/>
              <w:end w:w="100" w:type="dxa"/>
            </w:tcMar>
          </w:tcPr>
          <w:p>
            <w:pPr>
              <w:spacing w:after="0" w:line="240" w:lineRule="auto"/>
              <w:jc w:val="left"/>
            </w:pPr>
            <w:r>
              <w:rPr>
                <w:color w:val="232D37"/>
                <w:sz w:val="16"/>
              </w:rPr>
              <w:t>UPS tests, HVAC filters, panels, extinguishers and water quality</w:t>
            </w:r>
          </w:p>
        </w:tc>
        <w:tc>
          <w:tcPr>
            <w:tcW w:type="dxa" w:w="3384"/>
            <w:vAlign w:val="center"/>
            <w:tcMar>
              <w:top w:w="90" w:type="dxa"/>
              <w:start w:w="100" w:type="dxa"/>
              <w:bottom w:w="90" w:type="dxa"/>
              <w:end w:w="100" w:type="dxa"/>
            </w:tcMar>
          </w:tcPr>
          <w:p>
            <w:pPr>
              <w:spacing w:after="0" w:line="240" w:lineRule="auto"/>
              <w:jc w:val="left"/>
            </w:pPr>
            <w:r>
              <w:rPr>
                <w:color w:val="232D37"/>
                <w:sz w:val="16"/>
              </w:rPr>
              <w:t>Certificate/evidence and vendor validation</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6"/>
              </w:rPr>
              <w:t>Quarterly</w:t>
            </w:r>
          </w:p>
        </w:tc>
        <w:tc>
          <w:tcPr>
            <w:tcW w:type="dxa" w:w="5256"/>
            <w:vAlign w:val="center"/>
            <w:tcMar>
              <w:top w:w="90" w:type="dxa"/>
              <w:start w:w="100" w:type="dxa"/>
              <w:bottom w:w="90" w:type="dxa"/>
              <w:end w:w="100" w:type="dxa"/>
            </w:tcMar>
            <w:shd w:fill="F2F6FA"/>
          </w:tcPr>
          <w:p>
            <w:pPr>
              <w:spacing w:after="0" w:line="240" w:lineRule="auto"/>
              <w:jc w:val="left"/>
            </w:pPr>
            <w:r>
              <w:rPr>
                <w:color w:val="232D37"/>
                <w:sz w:val="16"/>
              </w:rPr>
              <w:t>Deep maintenance, earthing, CCTV health and pest control</w:t>
            </w:r>
          </w:p>
        </w:tc>
        <w:tc>
          <w:tcPr>
            <w:tcW w:type="dxa" w:w="3384"/>
            <w:vAlign w:val="center"/>
            <w:tcMar>
              <w:top w:w="90" w:type="dxa"/>
              <w:start w:w="100" w:type="dxa"/>
              <w:bottom w:w="90" w:type="dxa"/>
              <w:end w:w="100" w:type="dxa"/>
            </w:tcMar>
            <w:shd w:fill="F2F6FA"/>
          </w:tcPr>
          <w:p>
            <w:pPr>
              <w:spacing w:after="0" w:line="240" w:lineRule="auto"/>
              <w:jc w:val="left"/>
            </w:pPr>
            <w:r>
              <w:rPr>
                <w:color w:val="232D37"/>
                <w:sz w:val="16"/>
              </w:rPr>
              <w:t>Planned shutdown and branch communication</w:t>
            </w:r>
          </w:p>
        </w:tc>
      </w:tr>
      <w:tr>
        <w:tc>
          <w:tcPr>
            <w:tcW w:type="dxa" w:w="1728"/>
            <w:vAlign w:val="center"/>
            <w:tcMar>
              <w:top w:w="90" w:type="dxa"/>
              <w:start w:w="100" w:type="dxa"/>
              <w:bottom w:w="90" w:type="dxa"/>
              <w:end w:w="100" w:type="dxa"/>
            </w:tcMar>
          </w:tcPr>
          <w:p>
            <w:pPr>
              <w:spacing w:after="0" w:line="240" w:lineRule="auto"/>
              <w:jc w:val="center"/>
            </w:pPr>
            <w:r>
              <w:rPr>
                <w:color w:val="232D37"/>
                <w:sz w:val="16"/>
              </w:rPr>
              <w:t>Half-yearly</w:t>
            </w:r>
          </w:p>
        </w:tc>
        <w:tc>
          <w:tcPr>
            <w:tcW w:type="dxa" w:w="5256"/>
            <w:vAlign w:val="center"/>
            <w:tcMar>
              <w:top w:w="90" w:type="dxa"/>
              <w:start w:w="100" w:type="dxa"/>
              <w:bottom w:w="90" w:type="dxa"/>
              <w:end w:w="100" w:type="dxa"/>
            </w:tcMar>
          </w:tcPr>
          <w:p>
            <w:pPr>
              <w:spacing w:after="0" w:line="240" w:lineRule="auto"/>
              <w:jc w:val="left"/>
            </w:pPr>
            <w:r>
              <w:rPr>
                <w:color w:val="232D37"/>
                <w:sz w:val="16"/>
              </w:rPr>
              <w:t>Fire drill, facade checks, battery health and safety inspection</w:t>
            </w:r>
          </w:p>
        </w:tc>
        <w:tc>
          <w:tcPr>
            <w:tcW w:type="dxa" w:w="3384"/>
            <w:vAlign w:val="center"/>
            <w:tcMar>
              <w:top w:w="90" w:type="dxa"/>
              <w:start w:w="100" w:type="dxa"/>
              <w:bottom w:w="90" w:type="dxa"/>
              <w:end w:w="100" w:type="dxa"/>
            </w:tcMar>
          </w:tcPr>
          <w:p>
            <w:pPr>
              <w:spacing w:after="0" w:line="240" w:lineRule="auto"/>
              <w:jc w:val="left"/>
            </w:pPr>
            <w:r>
              <w:rPr>
                <w:color w:val="232D37"/>
                <w:sz w:val="16"/>
              </w:rPr>
              <w:t>Compliance calendar and closure report</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6"/>
              </w:rPr>
              <w:t>Annual</w:t>
            </w:r>
          </w:p>
        </w:tc>
        <w:tc>
          <w:tcPr>
            <w:tcW w:type="dxa" w:w="5256"/>
            <w:vAlign w:val="center"/>
            <w:tcMar>
              <w:top w:w="90" w:type="dxa"/>
              <w:start w:w="100" w:type="dxa"/>
              <w:bottom w:w="90" w:type="dxa"/>
              <w:end w:w="100" w:type="dxa"/>
            </w:tcMar>
            <w:shd w:fill="F2F6FA"/>
          </w:tcPr>
          <w:p>
            <w:pPr>
              <w:spacing w:after="0" w:line="240" w:lineRule="auto"/>
              <w:jc w:val="left"/>
            </w:pPr>
            <w:r>
              <w:rPr>
                <w:color w:val="232D37"/>
                <w:sz w:val="16"/>
              </w:rPr>
              <w:t>Statutory tests, load tests, major servicing and condition assessment</w:t>
            </w:r>
          </w:p>
        </w:tc>
        <w:tc>
          <w:tcPr>
            <w:tcW w:type="dxa" w:w="3384"/>
            <w:vAlign w:val="center"/>
            <w:tcMar>
              <w:top w:w="90" w:type="dxa"/>
              <w:start w:w="100" w:type="dxa"/>
              <w:bottom w:w="90" w:type="dxa"/>
              <w:end w:w="100" w:type="dxa"/>
            </w:tcMar>
            <w:shd w:fill="F2F6FA"/>
          </w:tcPr>
          <w:p>
            <w:pPr>
              <w:spacing w:after="0" w:line="240" w:lineRule="auto"/>
              <w:jc w:val="left"/>
            </w:pPr>
            <w:r>
              <w:rPr>
                <w:color w:val="232D37"/>
                <w:sz w:val="16"/>
              </w:rPr>
              <w:t>Budget linkage and replacement planning</w:t>
            </w:r>
          </w:p>
        </w:tc>
      </w:tr>
      <w:tr>
        <w:tc>
          <w:tcPr>
            <w:tcW w:type="dxa" w:w="1728"/>
            <w:vAlign w:val="center"/>
            <w:tcMar>
              <w:top w:w="90" w:type="dxa"/>
              <w:start w:w="100" w:type="dxa"/>
              <w:bottom w:w="90" w:type="dxa"/>
              <w:end w:w="100" w:type="dxa"/>
            </w:tcMar>
          </w:tcPr>
          <w:p>
            <w:pPr>
              <w:spacing w:after="0" w:line="240" w:lineRule="auto"/>
              <w:jc w:val="center"/>
            </w:pPr>
            <w:r>
              <w:rPr>
                <w:color w:val="232D37"/>
                <w:sz w:val="16"/>
              </w:rPr>
              <w:t>Condition-based</w:t>
            </w:r>
          </w:p>
        </w:tc>
        <w:tc>
          <w:tcPr>
            <w:tcW w:type="dxa" w:w="5256"/>
            <w:vAlign w:val="center"/>
            <w:tcMar>
              <w:top w:w="90" w:type="dxa"/>
              <w:start w:w="100" w:type="dxa"/>
              <w:bottom w:w="90" w:type="dxa"/>
              <w:end w:w="100" w:type="dxa"/>
            </w:tcMar>
          </w:tcPr>
          <w:p>
            <w:pPr>
              <w:spacing w:after="0" w:line="240" w:lineRule="auto"/>
              <w:jc w:val="left"/>
            </w:pPr>
            <w:r>
              <w:rPr>
                <w:color w:val="232D37"/>
                <w:sz w:val="16"/>
              </w:rPr>
              <w:t>Runtime, vibration, temperature, energy or alarm threshold</w:t>
            </w:r>
          </w:p>
        </w:tc>
        <w:tc>
          <w:tcPr>
            <w:tcW w:type="dxa" w:w="3384"/>
            <w:vAlign w:val="center"/>
            <w:tcMar>
              <w:top w:w="90" w:type="dxa"/>
              <w:start w:w="100" w:type="dxa"/>
              <w:bottom w:w="90" w:type="dxa"/>
              <w:end w:w="100" w:type="dxa"/>
            </w:tcMar>
          </w:tcPr>
          <w:p>
            <w:pPr>
              <w:spacing w:after="0" w:line="240" w:lineRule="auto"/>
              <w:jc w:val="left"/>
            </w:pPr>
            <w:r>
              <w:rPr>
                <w:color w:val="232D37"/>
                <w:sz w:val="16"/>
              </w:rPr>
              <w:t>IoT event creates inspection/work order</w:t>
            </w:r>
          </w:p>
        </w:tc>
      </w:tr>
    </w:tbl>
    <w:p>
      <w:pPr>
        <w:spacing w:after="40"/>
      </w:pPr>
    </w:p>
    <w:p>
      <w:pPr>
        <w:pStyle w:val="Heading1"/>
        <w:keepNext/>
      </w:pPr>
      <w:r>
        <w:t>6. Consumables, Stationery and Inventory Management</w:t>
      </w:r>
    </w:p>
    <w:p>
      <w:pPr>
        <w:pStyle w:val="Heading2"/>
        <w:keepNext/>
      </w:pPr>
      <w:r>
        <w:t>6.1 Inventory categories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232"/>
            <w:shd w:fill="17365D"/>
            <w:vAlign w:val="center"/>
            <w:tcMar>
              <w:top w:w="90" w:type="dxa"/>
              <w:start w:w="100" w:type="dxa"/>
              <w:bottom w:w="90" w:type="dxa"/>
              <w:end w:w="100" w:type="dxa"/>
            </w:tcMar>
          </w:tcPr>
          <w:p>
            <w:pPr>
              <w:jc w:val="center"/>
            </w:pPr>
            <w:r>
              <w:rPr>
                <w:b/>
                <w:color w:val="FFFFFF"/>
                <w:sz w:val="16"/>
              </w:rPr>
              <w:t>Category</w:t>
            </w:r>
          </w:p>
        </w:tc>
        <w:tc>
          <w:tcPr>
            <w:tcW w:type="dxa" w:w="8136"/>
            <w:shd w:fill="17365D"/>
            <w:vAlign w:val="center"/>
            <w:tcMar>
              <w:top w:w="90" w:type="dxa"/>
              <w:start w:w="100" w:type="dxa"/>
              <w:bottom w:w="90" w:type="dxa"/>
              <w:end w:w="100" w:type="dxa"/>
            </w:tcMar>
          </w:tcPr>
          <w:p>
            <w:pPr>
              <w:jc w:val="center"/>
            </w:pPr>
            <w:r>
              <w:rPr>
                <w:b/>
                <w:color w:val="FFFFFF"/>
                <w:sz w:val="16"/>
              </w:rPr>
              <w:t>Illustrative items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Housekeeping</w:t>
            </w:r>
          </w:p>
        </w:tc>
        <w:tc>
          <w:tcPr>
            <w:tcW w:type="dxa" w:w="8136"/>
            <w:vAlign w:val="center"/>
            <w:tcMar>
              <w:top w:w="90" w:type="dxa"/>
              <w:start w:w="100" w:type="dxa"/>
              <w:bottom w:w="90" w:type="dxa"/>
              <w:end w:w="100" w:type="dxa"/>
            </w:tcMar>
          </w:tcPr>
          <w:p>
            <w:pPr>
              <w:spacing w:after="0" w:line="240" w:lineRule="auto"/>
              <w:jc w:val="left"/>
            </w:pPr>
            <w:r>
              <w:rPr>
                <w:color w:val="232D37"/>
                <w:sz w:val="16"/>
              </w:rPr>
              <w:t>Chemicals, disinfectants, tissue, handwash, liners, mops, brushes, cloths, air fresheners and machine pads.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Pantry</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Tea, coffee, milk, sugar, cups, stirrers, napkins, water jars/bottles and vending premix.</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Stationery</w:t>
            </w:r>
          </w:p>
        </w:tc>
        <w:tc>
          <w:tcPr>
            <w:tcW w:type="dxa" w:w="8136"/>
            <w:vAlign w:val="center"/>
            <w:tcMar>
              <w:top w:w="90" w:type="dxa"/>
              <w:start w:w="100" w:type="dxa"/>
              <w:bottom w:w="90" w:type="dxa"/>
              <w:end w:w="100" w:type="dxa"/>
            </w:tcMar>
          </w:tcPr>
          <w:p>
            <w:pPr>
              <w:spacing w:after="0" w:line="240" w:lineRule="auto"/>
              <w:jc w:val="left"/>
            </w:pPr>
            <w:r>
              <w:rPr>
                <w:color w:val="232D37"/>
                <w:sz w:val="16"/>
              </w:rPr>
              <w:t>Paper, pens, folders, registers, envelopes, staplers, files, labels and boards.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Controlled stationery</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Cheque-related forms, security forms, letterheads, seals, numbered books and sensitive printed material, where applicable.</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Printing consumables</w:t>
            </w:r>
          </w:p>
        </w:tc>
        <w:tc>
          <w:tcPr>
            <w:tcW w:type="dxa" w:w="8136"/>
            <w:vAlign w:val="center"/>
            <w:tcMar>
              <w:top w:w="90" w:type="dxa"/>
              <w:start w:w="100" w:type="dxa"/>
              <w:bottom w:w="90" w:type="dxa"/>
              <w:end w:w="100" w:type="dxa"/>
            </w:tcMar>
          </w:tcPr>
          <w:p>
            <w:pPr>
              <w:spacing w:after="0" w:line="240" w:lineRule="auto"/>
              <w:jc w:val="left"/>
            </w:pPr>
            <w:r>
              <w:rPr>
                <w:color w:val="232D37"/>
                <w:sz w:val="16"/>
              </w:rPr>
              <w:t>Toners, cartridges, drums, ribbons, laminating pouches and printer paper.</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Maintenance consumables</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Lamps, filters, belts, lubricants, fuses, fasteners, plumbing items, paint and sealants.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Safety/PPE</w:t>
            </w:r>
          </w:p>
        </w:tc>
        <w:tc>
          <w:tcPr>
            <w:tcW w:type="dxa" w:w="8136"/>
            <w:vAlign w:val="center"/>
            <w:tcMar>
              <w:top w:w="90" w:type="dxa"/>
              <w:start w:w="100" w:type="dxa"/>
              <w:bottom w:w="90" w:type="dxa"/>
              <w:end w:w="100" w:type="dxa"/>
            </w:tcMar>
          </w:tcPr>
          <w:p>
            <w:pPr>
              <w:spacing w:after="0" w:line="240" w:lineRule="auto"/>
              <w:jc w:val="left"/>
            </w:pPr>
            <w:r>
              <w:rPr>
                <w:color w:val="232D37"/>
                <w:sz w:val="16"/>
              </w:rPr>
              <w:t>Helmets, shoes, gloves, goggles, masks, reflective jackets, first-aid items and spill kits.</w:t>
            </w:r>
          </w:p>
        </w:tc>
      </w:tr>
      <w:tr>
        <w:tc>
          <w:tcPr>
            <w:tcW w:type="dxa" w:w="2232"/>
            <w:vAlign w:val="center"/>
            <w:tcMar>
              <w:top w:w="90" w:type="dxa"/>
              <w:start w:w="100" w:type="dxa"/>
              <w:bottom w:w="90" w:type="dxa"/>
              <w:end w:w="100" w:type="dxa"/>
            </w:tcMar>
            <w:shd w:fill="F2F6FA"/>
          </w:tcPr>
          <w:p>
            <w:pPr>
              <w:spacing w:after="0" w:line="240" w:lineRule="auto"/>
              <w:jc w:val="center"/>
            </w:pPr>
            <w:r>
              <w:rPr>
                <w:color w:val="232D37"/>
                <w:sz w:val="16"/>
              </w:rPr>
              <w:t>Uniforms/linen</w:t>
            </w:r>
          </w:p>
        </w:tc>
        <w:tc>
          <w:tcPr>
            <w:tcW w:type="dxa" w:w="8136"/>
            <w:vAlign w:val="center"/>
            <w:tcMar>
              <w:top w:w="90" w:type="dxa"/>
              <w:start w:w="100" w:type="dxa"/>
              <w:bottom w:w="90" w:type="dxa"/>
              <w:end w:w="100" w:type="dxa"/>
            </w:tcMar>
            <w:shd w:fill="F2F6FA"/>
          </w:tcPr>
          <w:p>
            <w:pPr>
              <w:spacing w:after="0" w:line="240" w:lineRule="auto"/>
              <w:jc w:val="left"/>
            </w:pPr>
            <w:r>
              <w:rPr>
                <w:color w:val="232D37"/>
                <w:sz w:val="16"/>
              </w:rPr>
              <w:t>Security/housekeeping uniforms, towels, bedsheets, table linen and event materials.</w:t>
            </w:r>
          </w:p>
        </w:tc>
      </w:tr>
      <w:tr>
        <w:tc>
          <w:tcPr>
            <w:tcW w:type="dxa" w:w="2232"/>
            <w:vAlign w:val="center"/>
            <w:tcMar>
              <w:top w:w="90" w:type="dxa"/>
              <w:start w:w="100" w:type="dxa"/>
              <w:bottom w:w="90" w:type="dxa"/>
              <w:end w:w="100" w:type="dxa"/>
            </w:tcMar>
          </w:tcPr>
          <w:p>
            <w:pPr>
              <w:spacing w:after="0" w:line="240" w:lineRule="auto"/>
              <w:jc w:val="center"/>
            </w:pPr>
            <w:r>
              <w:rPr>
                <w:color w:val="232D37"/>
                <w:sz w:val="16"/>
              </w:rPr>
              <w:t>Spares</w:t>
            </w:r>
          </w:p>
        </w:tc>
        <w:tc>
          <w:tcPr>
            <w:tcW w:type="dxa" w:w="8136"/>
            <w:vAlign w:val="center"/>
            <w:tcMar>
              <w:top w:w="90" w:type="dxa"/>
              <w:start w:w="100" w:type="dxa"/>
              <w:bottom w:w="90" w:type="dxa"/>
              <w:end w:w="100" w:type="dxa"/>
            </w:tcMar>
          </w:tcPr>
          <w:p>
            <w:pPr>
              <w:spacing w:after="0" w:line="240" w:lineRule="auto"/>
              <w:jc w:val="left"/>
            </w:pPr>
            <w:r>
              <w:rPr>
                <w:color w:val="232D37"/>
                <w:sz w:val="16"/>
              </w:rPr>
              <w:t>Critical and insurance spares for electrical, HVAC, fire, security and plumbing systems.</w:t>
            </w:r>
          </w:p>
        </w:tc>
      </w:tr>
    </w:tbl>
    <w:p>
      <w:pPr>
        <w:spacing w:after="40"/>
      </w:pPr>
    </w:p>
    <w:p>
      <w:pPr>
        <w:pStyle w:val="Heading2"/>
        <w:keepNext/>
      </w:pPr>
      <w:r>
        <w:t>6.2 Item master</w:t>
      </w:r>
    </w:p>
    <w:p>
      <w:pPr>
        <w:pStyle w:val="ListBullet"/>
      </w:pPr>
      <w:r>
        <w:t>Item code, category, description, specification, brand equivalence, unit of measure and pack size.</w:t>
      </w:r>
    </w:p>
    <w:p>
      <w:pPr>
        <w:pStyle w:val="ListBullet"/>
      </w:pPr>
      <w:r>
        <w:t>Standard/non-standard flag, controlled-item flag, hazardous-material flag and expiry/shelf-life controls.</w:t>
      </w:r>
    </w:p>
    <w:p>
      <w:pPr>
        <w:pStyle w:val="ListBullet"/>
      </w:pPr>
      <w:r>
        <w:t>Preferred supplier, contracted rate, tax code, lead time, minimum order, issue basis and substitute item.</w:t>
      </w:r>
    </w:p>
    <w:p>
      <w:pPr>
        <w:pStyle w:val="ListBullet"/>
      </w:pPr>
      <w:r>
        <w:t>Applicable location type, monthly entitlement, consumption driver, reorder level, safety stock and maximum stock.</w:t>
      </w:r>
    </w:p>
    <w:p>
      <w:pPr>
        <w:pStyle w:val="ListBullet"/>
      </w:pPr>
      <w:r>
        <w:t>Storage conditions, batch/lot/expiry tracking, SDS document, disposal method and returnability.</w:t>
      </w:r>
    </w:p>
    <w:p>
      <w:pPr>
        <w:pStyle w:val="ListBullet"/>
      </w:pPr>
      <w:r>
        <w:t>GL account, cost centre default, budget head, inventory valuation method and chargeback rule.</w:t>
      </w:r>
    </w:p>
    <w:p>
      <w:pPr>
        <w:pStyle w:val="Heading2"/>
        <w:keepNext/>
      </w:pPr>
      <w:r>
        <w:t>6.3 Replenishment and control logic</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Control</w:t>
            </w:r>
          </w:p>
        </w:tc>
        <w:tc>
          <w:tcPr>
            <w:tcW w:type="dxa" w:w="8280"/>
            <w:shd w:fill="17365D"/>
            <w:vAlign w:val="center"/>
            <w:tcMar>
              <w:top w:w="90" w:type="dxa"/>
              <w:start w:w="100" w:type="dxa"/>
              <w:bottom w:w="90" w:type="dxa"/>
              <w:end w:w="100" w:type="dxa"/>
            </w:tcMar>
          </w:tcPr>
          <w:p>
            <w:pPr>
              <w:jc w:val="center"/>
            </w:pPr>
            <w:r>
              <w:rPr>
                <w:b/>
                <w:color w:val="FFFFFF"/>
                <w:sz w:val="16"/>
              </w:rPr>
              <w:t>Recommended logic</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Demand forecast</w:t>
            </w:r>
          </w:p>
        </w:tc>
        <w:tc>
          <w:tcPr>
            <w:tcW w:type="dxa" w:w="8280"/>
            <w:vAlign w:val="center"/>
            <w:tcMar>
              <w:top w:w="90" w:type="dxa"/>
              <w:start w:w="100" w:type="dxa"/>
              <w:bottom w:w="90" w:type="dxa"/>
              <w:end w:w="100" w:type="dxa"/>
            </w:tcMar>
          </w:tcPr>
          <w:p>
            <w:pPr>
              <w:spacing w:after="0" w:line="240" w:lineRule="auto"/>
              <w:jc w:val="left"/>
            </w:pPr>
            <w:r>
              <w:rPr>
                <w:color w:val="232D37"/>
                <w:sz w:val="16"/>
              </w:rPr>
              <w:t>Prior consumption x seasonality x headcount/footfall x site type, adjusted for events and service changes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Min-max</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Reorder point = lead-time demand + safety stock; maximum based on storage and expiry risk</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Entitlement</w:t>
            </w:r>
          </w:p>
        </w:tc>
        <w:tc>
          <w:tcPr>
            <w:tcW w:type="dxa" w:w="8280"/>
            <w:vAlign w:val="center"/>
            <w:tcMar>
              <w:top w:w="90" w:type="dxa"/>
              <w:start w:w="100" w:type="dxa"/>
              <w:bottom w:w="90" w:type="dxa"/>
              <w:end w:w="100" w:type="dxa"/>
            </w:tcMar>
          </w:tcPr>
          <w:p>
            <w:pPr>
              <w:spacing w:after="0" w:line="240" w:lineRule="auto"/>
              <w:jc w:val="left"/>
            </w:pPr>
            <w:r>
              <w:rPr>
                <w:color w:val="232D37"/>
                <w:sz w:val="16"/>
              </w:rPr>
              <w:t>Role/site/service-based limits with exception approval and reason code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Issue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Named requester, cost centre, quantity, stock balance, acknowledgement and purpose</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Cycle count</w:t>
            </w:r>
          </w:p>
        </w:tc>
        <w:tc>
          <w:tcPr>
            <w:tcW w:type="dxa" w:w="8280"/>
            <w:vAlign w:val="center"/>
            <w:tcMar>
              <w:top w:w="90" w:type="dxa"/>
              <w:start w:w="100" w:type="dxa"/>
              <w:bottom w:w="90" w:type="dxa"/>
              <w:end w:w="100" w:type="dxa"/>
            </w:tcMar>
          </w:tcPr>
          <w:p>
            <w:pPr>
              <w:spacing w:after="0" w:line="240" w:lineRule="auto"/>
              <w:jc w:val="left"/>
            </w:pPr>
            <w:r>
              <w:rPr>
                <w:color w:val="232D37"/>
                <w:sz w:val="16"/>
              </w:rPr>
              <w:t>ABC frequency, blind count, variance threshold and approval for adjustment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Expiry</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FEFO issue, alerts before expiry, transfer to faster-consuming site and controlled disposal</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Controlled items</w:t>
            </w:r>
          </w:p>
        </w:tc>
        <w:tc>
          <w:tcPr>
            <w:tcW w:type="dxa" w:w="8280"/>
            <w:vAlign w:val="center"/>
            <w:tcMar>
              <w:top w:w="90" w:type="dxa"/>
              <w:start w:w="100" w:type="dxa"/>
              <w:bottom w:w="90" w:type="dxa"/>
              <w:end w:w="100" w:type="dxa"/>
            </w:tcMar>
          </w:tcPr>
          <w:p>
            <w:pPr>
              <w:spacing w:after="0" w:line="240" w:lineRule="auto"/>
              <w:jc w:val="left"/>
            </w:pPr>
            <w:r>
              <w:rPr>
                <w:color w:val="232D37"/>
                <w:sz w:val="16"/>
              </w:rPr>
              <w:t>Serial/number range, dual custody, secure storage, issue register and destruction certificate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Vendor-managed stock</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Consignment/VMI balance, ownership, replenishment SLA and consumption-based billing</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Analytics</w:t>
            </w:r>
          </w:p>
        </w:tc>
        <w:tc>
          <w:tcPr>
            <w:tcW w:type="dxa" w:w="8280"/>
            <w:vAlign w:val="center"/>
            <w:tcMar>
              <w:top w:w="90" w:type="dxa"/>
              <w:start w:w="100" w:type="dxa"/>
              <w:bottom w:w="90" w:type="dxa"/>
              <w:end w:w="100" w:type="dxa"/>
            </w:tcMar>
          </w:tcPr>
          <w:p>
            <w:pPr>
              <w:spacing w:after="0" w:line="240" w:lineRule="auto"/>
              <w:jc w:val="left"/>
            </w:pPr>
            <w:r>
              <w:rPr>
                <w:color w:val="232D37"/>
                <w:sz w:val="16"/>
              </w:rPr>
              <w:t>Per employee, per seat, per transaction, per sq. ft. and per location benchmark</w:t>
            </w:r>
          </w:p>
        </w:tc>
      </w:tr>
    </w:tbl>
    <w:p>
      <w:pPr>
        <w:spacing w:after="40"/>
      </w:pPr>
    </w:p>
    <w:p>
      <w:pPr>
        <w:pStyle w:val="Heading1"/>
        <w:keepNext/>
      </w:pPr>
      <w:r>
        <w:t>7. Budget, CAPEX, OPEX and Cost Allocation</w:t>
      </w:r>
    </w:p>
    <w:p>
      <w:pPr>
        <w:spacing w:after="120" w:line="269" w:lineRule="auto"/>
      </w:pPr>
      <w:r>
        <w:t>Budget management should act as a control layer, not only a reporting module. The system must show original budget, revisions, transfers, commitments, actuals, accruals, forecast-at-completion and available balance for every relevant organisational and service dimension.</w:t>
      </w:r>
    </w:p>
    <w:p>
      <w:pPr>
        <w:pStyle w:val="Heading2"/>
        <w:keepNext/>
      </w:pPr>
      <w:r>
        <w:t>7.1 Budget dimensions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90" w:type="dxa"/>
              <w:start w:w="100" w:type="dxa"/>
              <w:bottom w:w="90" w:type="dxa"/>
              <w:end w:w="100" w:type="dxa"/>
            </w:tcMar>
          </w:tcPr>
          <w:p>
            <w:pPr>
              <w:jc w:val="center"/>
            </w:pPr>
            <w:r>
              <w:rPr>
                <w:b/>
                <w:color w:val="FFFFFF"/>
                <w:sz w:val="16"/>
              </w:rPr>
              <w:t>Dimension</w:t>
            </w:r>
          </w:p>
        </w:tc>
        <w:tc>
          <w:tcPr>
            <w:tcW w:type="dxa" w:w="8352"/>
            <w:shd w:fill="17365D"/>
            <w:vAlign w:val="center"/>
            <w:tcMar>
              <w:top w:w="90" w:type="dxa"/>
              <w:start w:w="100" w:type="dxa"/>
              <w:bottom w:w="90" w:type="dxa"/>
              <w:end w:w="100" w:type="dxa"/>
            </w:tcMar>
          </w:tcPr>
          <w:p>
            <w:pPr>
              <w:jc w:val="center"/>
            </w:pPr>
            <w:r>
              <w:rPr>
                <w:b/>
                <w:color w:val="FFFFFF"/>
                <w:sz w:val="16"/>
              </w:rPr>
              <w:t>Examples</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Time</w:t>
            </w:r>
          </w:p>
        </w:tc>
        <w:tc>
          <w:tcPr>
            <w:tcW w:type="dxa" w:w="8352"/>
            <w:vAlign w:val="center"/>
            <w:tcMar>
              <w:top w:w="90" w:type="dxa"/>
              <w:start w:w="100" w:type="dxa"/>
              <w:bottom w:w="90" w:type="dxa"/>
              <w:end w:w="100" w:type="dxa"/>
            </w:tcMar>
          </w:tcPr>
          <w:p>
            <w:pPr>
              <w:spacing w:after="0" w:line="240" w:lineRule="auto"/>
              <w:jc w:val="left"/>
            </w:pPr>
            <w:r>
              <w:rPr>
                <w:color w:val="232D37"/>
                <w:sz w:val="16"/>
              </w:rPr>
              <w:t>Financial year, quarter, month, project phase and contract period</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Organisation</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Group, legal entity, business unit, department, zone, region and location</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Finance</w:t>
            </w:r>
          </w:p>
        </w:tc>
        <w:tc>
          <w:tcPr>
            <w:tcW w:type="dxa" w:w="8352"/>
            <w:vAlign w:val="center"/>
            <w:tcMar>
              <w:top w:w="90" w:type="dxa"/>
              <w:start w:w="100" w:type="dxa"/>
              <w:bottom w:w="90" w:type="dxa"/>
              <w:end w:w="100" w:type="dxa"/>
            </w:tcMar>
          </w:tcPr>
          <w:p>
            <w:pPr>
              <w:spacing w:after="0" w:line="240" w:lineRule="auto"/>
              <w:jc w:val="left"/>
            </w:pPr>
            <w:r>
              <w:rPr>
                <w:color w:val="232D37"/>
                <w:sz w:val="16"/>
              </w:rPr>
              <w:t>Cost centre, profit centre, GL, internal order, WBS, fund and currency</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Service</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Service family, service item, asset class, contract and supplier</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Spend type</w:t>
            </w:r>
          </w:p>
        </w:tc>
        <w:tc>
          <w:tcPr>
            <w:tcW w:type="dxa" w:w="8352"/>
            <w:vAlign w:val="center"/>
            <w:tcMar>
              <w:top w:w="90" w:type="dxa"/>
              <w:start w:w="100" w:type="dxa"/>
              <w:bottom w:w="90" w:type="dxa"/>
              <w:end w:w="100" w:type="dxa"/>
            </w:tcMar>
          </w:tcPr>
          <w:p>
            <w:pPr>
              <w:spacing w:after="0" w:line="240" w:lineRule="auto"/>
              <w:jc w:val="left"/>
            </w:pPr>
            <w:r>
              <w:rPr>
                <w:color w:val="232D37"/>
                <w:sz w:val="16"/>
              </w:rPr>
              <w:t>CAPEX, OPEX, lease, utilities, repair, project, consumable and employee service</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Ownership</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Budget owner, controller, approver, requester and beneficiary</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Scenario</w:t>
            </w:r>
          </w:p>
        </w:tc>
        <w:tc>
          <w:tcPr>
            <w:tcW w:type="dxa" w:w="8352"/>
            <w:vAlign w:val="center"/>
            <w:tcMar>
              <w:top w:w="90" w:type="dxa"/>
              <w:start w:w="100" w:type="dxa"/>
              <w:bottom w:w="90" w:type="dxa"/>
              <w:end w:w="100" w:type="dxa"/>
            </w:tcMar>
          </w:tcPr>
          <w:p>
            <w:pPr>
              <w:spacing w:after="0" w:line="240" w:lineRule="auto"/>
              <w:jc w:val="left"/>
            </w:pPr>
            <w:r>
              <w:rPr>
                <w:color w:val="232D37"/>
                <w:sz w:val="16"/>
              </w:rPr>
              <w:t>Base, approved, stretch, revised, forecast and contingency</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Allocation driver</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Area, seats, headcount, usage, transaction, meter, asset count or fixed percentage</w:t>
            </w:r>
          </w:p>
        </w:tc>
      </w:tr>
    </w:tbl>
    <w:p>
      <w:pPr>
        <w:spacing w:after="40"/>
      </w:pPr>
    </w:p>
    <w:p>
      <w:pPr>
        <w:pStyle w:val="Heading2"/>
        <w:keepNext/>
      </w:pPr>
      <w:r>
        <w:t>7.2 Detailed budget heads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5"/>
              </w:rPr>
              <w:t>Budget family</w:t>
            </w:r>
          </w:p>
        </w:tc>
        <w:tc>
          <w:tcPr>
            <w:tcW w:type="dxa" w:w="6840"/>
            <w:shd w:fill="17365D"/>
            <w:vAlign w:val="center"/>
            <w:tcMar>
              <w:top w:w="90" w:type="dxa"/>
              <w:start w:w="100" w:type="dxa"/>
              <w:bottom w:w="90" w:type="dxa"/>
              <w:end w:w="100" w:type="dxa"/>
            </w:tcMar>
          </w:tcPr>
          <w:p>
            <w:pPr>
              <w:jc w:val="center"/>
            </w:pPr>
            <w:r>
              <w:rPr>
                <w:b/>
                <w:color w:val="FFFFFF"/>
                <w:sz w:val="15"/>
              </w:rPr>
              <w:t>Included costs</w:t>
            </w:r>
          </w:p>
        </w:tc>
        <w:tc>
          <w:tcPr>
            <w:tcW w:type="dxa" w:w="1728"/>
            <w:shd w:fill="17365D"/>
            <w:vAlign w:val="center"/>
            <w:tcMar>
              <w:top w:w="90" w:type="dxa"/>
              <w:start w:w="100" w:type="dxa"/>
              <w:bottom w:w="90" w:type="dxa"/>
              <w:end w:w="100" w:type="dxa"/>
            </w:tcMar>
          </w:tcPr>
          <w:p>
            <w:pPr>
              <w:jc w:val="center"/>
            </w:pPr>
            <w:r>
              <w:rPr>
                <w:b/>
                <w:color w:val="FFFFFF"/>
                <w:sz w:val="15"/>
              </w:rPr>
              <w:t>Treatment</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Real estate occupancy</w:t>
            </w:r>
          </w:p>
        </w:tc>
        <w:tc>
          <w:tcPr>
            <w:tcW w:type="dxa" w:w="6840"/>
            <w:vAlign w:val="center"/>
            <w:tcMar>
              <w:top w:w="90" w:type="dxa"/>
              <w:start w:w="100" w:type="dxa"/>
              <w:bottom w:w="90" w:type="dxa"/>
              <w:end w:w="100" w:type="dxa"/>
            </w:tcMar>
          </w:tcPr>
          <w:p>
            <w:pPr>
              <w:spacing w:after="0" w:line="240" w:lineRule="auto"/>
              <w:jc w:val="left"/>
            </w:pPr>
            <w:r>
              <w:rPr>
                <w:color w:val="232D37"/>
                <w:sz w:val="15"/>
              </w:rPr>
              <w:t>Rent, CAM/service charges, property tax, lease registration, brokerage, deposits, parking and fit-out amortisation</w:t>
            </w:r>
          </w:p>
        </w:tc>
        <w:tc>
          <w:tcPr>
            <w:tcW w:type="dxa" w:w="1728"/>
            <w:vAlign w:val="center"/>
            <w:tcMar>
              <w:top w:w="90" w:type="dxa"/>
              <w:start w:w="100" w:type="dxa"/>
              <w:bottom w:w="90" w:type="dxa"/>
              <w:end w:w="100" w:type="dxa"/>
            </w:tcMar>
          </w:tcPr>
          <w:p>
            <w:pPr>
              <w:spacing w:after="0" w:line="240" w:lineRule="auto"/>
              <w:jc w:val="left"/>
            </w:pPr>
            <w:r>
              <w:rPr>
                <w:color w:val="232D37"/>
                <w:sz w:val="15"/>
              </w:rPr>
              <w:t>OPEX / balance-sheet as applicable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Utilities</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Electricity, diesel, gas, water, sewage, internet related facility charges and renewable power</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Housekeeping</w:t>
            </w:r>
          </w:p>
        </w:tc>
        <w:tc>
          <w:tcPr>
            <w:tcW w:type="dxa" w:w="6840"/>
            <w:vAlign w:val="center"/>
            <w:tcMar>
              <w:top w:w="90" w:type="dxa"/>
              <w:start w:w="100" w:type="dxa"/>
              <w:bottom w:w="90" w:type="dxa"/>
              <w:end w:w="100" w:type="dxa"/>
            </w:tcMar>
          </w:tcPr>
          <w:p>
            <w:pPr>
              <w:spacing w:after="0" w:line="240" w:lineRule="auto"/>
              <w:jc w:val="left"/>
            </w:pPr>
            <w:r>
              <w:rPr>
                <w:color w:val="232D37"/>
                <w:sz w:val="15"/>
              </w:rPr>
              <w:t>Manpower, machines, chemicals, consumables, facade, pest control and waste</w:t>
            </w:r>
          </w:p>
        </w:tc>
        <w:tc>
          <w:tcPr>
            <w:tcW w:type="dxa" w:w="1728"/>
            <w:vAlign w:val="center"/>
            <w:tcMar>
              <w:top w:w="90" w:type="dxa"/>
              <w:start w:w="100" w:type="dxa"/>
              <w:bottom w:w="90" w:type="dxa"/>
              <w:end w:w="100" w:type="dxa"/>
            </w:tcMar>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Repairs and maintenance</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Civil, electrical, HVAC, plumbing, fire, lift, security systems and minor works</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AMC/CMC</w:t>
            </w:r>
          </w:p>
        </w:tc>
        <w:tc>
          <w:tcPr>
            <w:tcW w:type="dxa" w:w="6840"/>
            <w:vAlign w:val="center"/>
            <w:tcMar>
              <w:top w:w="90" w:type="dxa"/>
              <w:start w:w="100" w:type="dxa"/>
              <w:bottom w:w="90" w:type="dxa"/>
              <w:end w:w="100" w:type="dxa"/>
            </w:tcMar>
          </w:tcPr>
          <w:p>
            <w:pPr>
              <w:spacing w:after="0" w:line="240" w:lineRule="auto"/>
              <w:jc w:val="left"/>
            </w:pPr>
            <w:r>
              <w:rPr>
                <w:color w:val="232D37"/>
                <w:sz w:val="15"/>
              </w:rPr>
              <w:t>Equipment and system maintenance contracts, OEM support and software/BMS support</w:t>
            </w:r>
          </w:p>
        </w:tc>
        <w:tc>
          <w:tcPr>
            <w:tcW w:type="dxa" w:w="1728"/>
            <w:vAlign w:val="center"/>
            <w:tcMar>
              <w:top w:w="90" w:type="dxa"/>
              <w:start w:w="100" w:type="dxa"/>
              <w:bottom w:w="90" w:type="dxa"/>
              <w:end w:w="100" w:type="dxa"/>
            </w:tcMar>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Security and safety</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Guarding, monitoring, access consumables, fire services, PPE and drills</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Pantry and food</w:t>
            </w:r>
          </w:p>
        </w:tc>
        <w:tc>
          <w:tcPr>
            <w:tcW w:type="dxa" w:w="6840"/>
            <w:vAlign w:val="center"/>
            <w:tcMar>
              <w:top w:w="90" w:type="dxa"/>
              <w:start w:w="100" w:type="dxa"/>
              <w:bottom w:w="90" w:type="dxa"/>
              <w:end w:w="100" w:type="dxa"/>
            </w:tcMar>
          </w:tcPr>
          <w:p>
            <w:pPr>
              <w:spacing w:after="0" w:line="240" w:lineRule="auto"/>
              <w:jc w:val="left"/>
            </w:pPr>
            <w:r>
              <w:rPr>
                <w:color w:val="232D37"/>
                <w:sz w:val="15"/>
              </w:rPr>
              <w:t>Vending, beverages, water, cafeteria subsidy, catering and kitchen operations</w:t>
            </w:r>
          </w:p>
        </w:tc>
        <w:tc>
          <w:tcPr>
            <w:tcW w:type="dxa" w:w="1728"/>
            <w:vAlign w:val="center"/>
            <w:tcMar>
              <w:top w:w="90" w:type="dxa"/>
              <w:start w:w="100" w:type="dxa"/>
              <w:bottom w:w="90" w:type="dxa"/>
              <w:end w:w="100" w:type="dxa"/>
            </w:tcMar>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Stationery and printing</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Office stationery, controlled stationery, print services and consumables</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Furniture and equipment</w:t>
            </w:r>
          </w:p>
        </w:tc>
        <w:tc>
          <w:tcPr>
            <w:tcW w:type="dxa" w:w="6840"/>
            <w:vAlign w:val="center"/>
            <w:tcMar>
              <w:top w:w="90" w:type="dxa"/>
              <w:start w:w="100" w:type="dxa"/>
              <w:bottom w:w="90" w:type="dxa"/>
              <w:end w:w="100" w:type="dxa"/>
            </w:tcMar>
          </w:tcPr>
          <w:p>
            <w:pPr>
              <w:spacing w:after="0" w:line="240" w:lineRule="auto"/>
              <w:jc w:val="left"/>
            </w:pPr>
            <w:r>
              <w:rPr>
                <w:color w:val="232D37"/>
                <w:sz w:val="15"/>
              </w:rPr>
              <w:t>New/replacement furniture, appliances, AV, office equipment and facility tools</w:t>
            </w:r>
          </w:p>
        </w:tc>
        <w:tc>
          <w:tcPr>
            <w:tcW w:type="dxa" w:w="1728"/>
            <w:vAlign w:val="center"/>
            <w:tcMar>
              <w:top w:w="90" w:type="dxa"/>
              <w:start w:w="100" w:type="dxa"/>
              <w:bottom w:w="90" w:type="dxa"/>
              <w:end w:w="100" w:type="dxa"/>
            </w:tcMar>
          </w:tcPr>
          <w:p>
            <w:pPr>
              <w:spacing w:after="0" w:line="240" w:lineRule="auto"/>
              <w:jc w:val="left"/>
            </w:pPr>
            <w:r>
              <w:rPr>
                <w:color w:val="232D37"/>
                <w:sz w:val="15"/>
              </w:rPr>
              <w:t>CAPEX or OPEX by policy</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Projects and fit-outs</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New branches, renovations, relocations, consolidation, accessibility and energy projects</w:t>
            </w:r>
          </w:p>
        </w:tc>
        <w:tc>
          <w:tcPr>
            <w:tcW w:type="dxa" w:w="1728"/>
            <w:vAlign w:val="center"/>
            <w:tcMar>
              <w:top w:w="90" w:type="dxa"/>
              <w:start w:w="100" w:type="dxa"/>
              <w:bottom w:w="90" w:type="dxa"/>
              <w:end w:w="100" w:type="dxa"/>
            </w:tcMar>
            <w:shd w:fill="F2F6FA"/>
          </w:tcPr>
          <w:p>
            <w:pPr>
              <w:spacing w:after="0" w:line="240" w:lineRule="auto"/>
              <w:jc w:val="left"/>
            </w:pPr>
            <w:r>
              <w:rPr>
                <w:color w:val="232D37"/>
                <w:sz w:val="15"/>
              </w:rPr>
              <w:t>CAPEX / project 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Transport/logistics</w:t>
            </w:r>
          </w:p>
        </w:tc>
        <w:tc>
          <w:tcPr>
            <w:tcW w:type="dxa" w:w="6840"/>
            <w:vAlign w:val="center"/>
            <w:tcMar>
              <w:top w:w="90" w:type="dxa"/>
              <w:start w:w="100" w:type="dxa"/>
              <w:bottom w:w="90" w:type="dxa"/>
              <w:end w:w="100" w:type="dxa"/>
            </w:tcMar>
          </w:tcPr>
          <w:p>
            <w:pPr>
              <w:spacing w:after="0" w:line="240" w:lineRule="auto"/>
              <w:jc w:val="left"/>
            </w:pPr>
            <w:r>
              <w:rPr>
                <w:color w:val="232D37"/>
                <w:sz w:val="15"/>
              </w:rPr>
              <w:t>Shuttle/cab interface, courier, relocation, material movement and warehousing</w:t>
            </w:r>
          </w:p>
        </w:tc>
        <w:tc>
          <w:tcPr>
            <w:tcW w:type="dxa" w:w="1728"/>
            <w:vAlign w:val="center"/>
            <w:tcMar>
              <w:top w:w="90" w:type="dxa"/>
              <w:start w:w="100" w:type="dxa"/>
              <w:bottom w:w="90" w:type="dxa"/>
              <w:end w:w="100" w:type="dxa"/>
            </w:tcMar>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Compliance and insurance</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Tests, licences, certification, audits, insurance and statutory fees</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Employee amenities</w:t>
            </w:r>
          </w:p>
        </w:tc>
        <w:tc>
          <w:tcPr>
            <w:tcW w:type="dxa" w:w="6840"/>
            <w:vAlign w:val="center"/>
            <w:tcMar>
              <w:top w:w="90" w:type="dxa"/>
              <w:start w:w="100" w:type="dxa"/>
              <w:bottom w:w="90" w:type="dxa"/>
              <w:end w:w="100" w:type="dxa"/>
            </w:tcMar>
          </w:tcPr>
          <w:p>
            <w:pPr>
              <w:spacing w:after="0" w:line="240" w:lineRule="auto"/>
              <w:jc w:val="left"/>
            </w:pPr>
            <w:r>
              <w:rPr>
                <w:color w:val="232D37"/>
                <w:sz w:val="15"/>
              </w:rPr>
              <w:t>Wellness, creche, gym, recreation, events and experience enhancements</w:t>
            </w:r>
          </w:p>
        </w:tc>
        <w:tc>
          <w:tcPr>
            <w:tcW w:type="dxa" w:w="1728"/>
            <w:vAlign w:val="center"/>
            <w:tcMar>
              <w:top w:w="90" w:type="dxa"/>
              <w:start w:w="100" w:type="dxa"/>
              <w:bottom w:w="90" w:type="dxa"/>
              <w:end w:w="100" w:type="dxa"/>
            </w:tcMar>
          </w:tcPr>
          <w:p>
            <w:pPr>
              <w:spacing w:after="0" w:line="240" w:lineRule="auto"/>
              <w:jc w:val="center"/>
            </w:pPr>
            <w:r>
              <w:rPr>
                <w:color w:val="232D37"/>
                <w:sz w:val="15"/>
              </w:rPr>
              <w:t>OPEX</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Sustainability</w:t>
            </w:r>
          </w:p>
        </w:tc>
        <w:tc>
          <w:tcPr>
            <w:tcW w:type="dxa" w:w="6840"/>
            <w:vAlign w:val="center"/>
            <w:tcMar>
              <w:top w:w="90" w:type="dxa"/>
              <w:start w:w="100" w:type="dxa"/>
              <w:bottom w:w="90" w:type="dxa"/>
              <w:end w:w="100" w:type="dxa"/>
            </w:tcMar>
            <w:shd w:fill="F2F6FA"/>
          </w:tcPr>
          <w:p>
            <w:pPr>
              <w:spacing w:after="0" w:line="240" w:lineRule="auto"/>
              <w:jc w:val="left"/>
            </w:pPr>
            <w:r>
              <w:rPr>
                <w:color w:val="232D37"/>
                <w:sz w:val="15"/>
              </w:rPr>
              <w:t>Solar, efficiency upgrades, water, waste, green certification and carbon projects</w:t>
            </w:r>
          </w:p>
        </w:tc>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CAPEX/OPEX</w:t>
            </w:r>
          </w:p>
        </w:tc>
      </w:tr>
      <w:tr>
        <w:tc>
          <w:tcPr>
            <w:tcW w:type="dxa" w:w="2088"/>
            <w:vAlign w:val="center"/>
            <w:tcMar>
              <w:top w:w="90" w:type="dxa"/>
              <w:start w:w="100" w:type="dxa"/>
              <w:bottom w:w="90" w:type="dxa"/>
              <w:end w:w="100" w:type="dxa"/>
            </w:tcMar>
          </w:tcPr>
          <w:p>
            <w:pPr>
              <w:spacing w:after="0" w:line="240" w:lineRule="auto"/>
              <w:jc w:val="center"/>
            </w:pPr>
            <w:r>
              <w:rPr>
                <w:color w:val="232D37"/>
                <w:sz w:val="15"/>
              </w:rPr>
              <w:t>Contingency</w:t>
            </w:r>
          </w:p>
        </w:tc>
        <w:tc>
          <w:tcPr>
            <w:tcW w:type="dxa" w:w="6840"/>
            <w:vAlign w:val="center"/>
            <w:tcMar>
              <w:top w:w="90" w:type="dxa"/>
              <w:start w:w="100" w:type="dxa"/>
              <w:bottom w:w="90" w:type="dxa"/>
              <w:end w:w="100" w:type="dxa"/>
            </w:tcMar>
          </w:tcPr>
          <w:p>
            <w:pPr>
              <w:spacing w:after="0" w:line="240" w:lineRule="auto"/>
              <w:jc w:val="left"/>
            </w:pPr>
            <w:r>
              <w:rPr>
                <w:color w:val="232D37"/>
                <w:sz w:val="15"/>
              </w:rPr>
              <w:t>Emergency repair, disaster recovery site and unforeseen statutory work</w:t>
            </w:r>
          </w:p>
        </w:tc>
        <w:tc>
          <w:tcPr>
            <w:tcW w:type="dxa" w:w="1728"/>
            <w:vAlign w:val="center"/>
            <w:tcMar>
              <w:top w:w="90" w:type="dxa"/>
              <w:start w:w="100" w:type="dxa"/>
              <w:bottom w:w="90" w:type="dxa"/>
              <w:end w:w="100" w:type="dxa"/>
            </w:tcMar>
          </w:tcPr>
          <w:p>
            <w:pPr>
              <w:spacing w:after="0" w:line="240" w:lineRule="auto"/>
              <w:jc w:val="left"/>
            </w:pPr>
            <w:r>
              <w:rPr>
                <w:color w:val="232D37"/>
                <w:sz w:val="15"/>
              </w:rPr>
              <w:t>Controlled reserve</w:t>
            </w:r>
          </w:p>
        </w:tc>
      </w:tr>
    </w:tbl>
    <w:p>
      <w:pPr>
        <w:spacing w:after="40"/>
      </w:pPr>
    </w:p>
    <w:p>
      <w:pPr>
        <w:pStyle w:val="Heading2"/>
        <w:keepNext/>
      </w:pPr>
      <w:r>
        <w:t>7.3 Budget lifecycle and formulas</w:t>
      </w:r>
    </w:p>
    <w:p>
      <w:pPr>
        <w:pStyle w:val="ListNumber"/>
      </w:pPr>
      <w:r>
        <w:t>Plan demand using unit rates and drivers, then challenge against historic actuals, inflation, contracts, occupancy plans and lifecycle replacements.</w:t>
      </w:r>
    </w:p>
    <w:p>
      <w:pPr>
        <w:pStyle w:val="ListNumber"/>
      </w:pPr>
      <w:r>
        <w:t>Approve budget at the lowest controllable level, while retaining regional and corporate contingency pools.</w:t>
      </w:r>
    </w:p>
    <w:p>
      <w:pPr>
        <w:pStyle w:val="ListNumber"/>
      </w:pPr>
      <w:r>
        <w:t>Create commitment when purchase requisition/PO/contract/work order is approved; relieve commitment against goods/service receipt and invoice.</w:t>
      </w:r>
    </w:p>
    <w:p>
      <w:pPr>
        <w:pStyle w:val="ListNumber"/>
      </w:pPr>
      <w:r>
        <w:t>Recognise actual from the finance system; recognise accrual for consumed but unbilled services.</w:t>
      </w:r>
    </w:p>
    <w:p>
      <w:pPr>
        <w:pStyle w:val="ListNumber"/>
      </w:pPr>
      <w:r>
        <w:t>Available budget = Revised budget - commitments - actuals - accruals, subject to the organisation’s accounting policy.</w:t>
      </w:r>
    </w:p>
    <w:p>
      <w:pPr>
        <w:pStyle w:val="ListNumber"/>
      </w:pPr>
      <w:r>
        <w:t>Forecast at completion = actuals to date + open commitments + remaining forecast + quantified risks/opportunities.</w:t>
      </w:r>
    </w:p>
    <w:p>
      <w:pPr>
        <w:pStyle w:val="ListNumber"/>
      </w:pPr>
      <w:r>
        <w:t>Budget transfer requires source availability, destination justification, authority approval and complete audit trail.</w:t>
      </w:r>
    </w:p>
    <w:p>
      <w:pPr>
        <w:pStyle w:val="ListNumber"/>
      </w:pPr>
      <w:r>
        <w:t>Block, warn or route exception where proposed spend exceeds available budget or approved category.</w:t>
      </w:r>
    </w:p>
    <w:p>
      <w:pPr>
        <w:pStyle w:val="Heading2"/>
        <w:keepNext/>
      </w:pPr>
      <w:r>
        <w:t>7.4 Illustrative annual planning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Cost component</w:t>
            </w:r>
          </w:p>
        </w:tc>
        <w:tc>
          <w:tcPr>
            <w:tcW w:type="dxa" w:w="3528"/>
            <w:shd w:fill="17365D"/>
            <w:vAlign w:val="center"/>
            <w:tcMar>
              <w:top w:w="90" w:type="dxa"/>
              <w:start w:w="100" w:type="dxa"/>
              <w:bottom w:w="90" w:type="dxa"/>
              <w:end w:w="100" w:type="dxa"/>
            </w:tcMar>
          </w:tcPr>
          <w:p>
            <w:pPr>
              <w:jc w:val="center"/>
            </w:pPr>
            <w:r>
              <w:rPr>
                <w:b/>
                <w:color w:val="FFFFFF"/>
                <w:sz w:val="16"/>
              </w:rPr>
              <w:t>Driver</w:t>
            </w:r>
          </w:p>
        </w:tc>
        <w:tc>
          <w:tcPr>
            <w:tcW w:type="dxa" w:w="5040"/>
            <w:shd w:fill="17365D"/>
            <w:vAlign w:val="center"/>
            <w:tcMar>
              <w:top w:w="90" w:type="dxa"/>
              <w:start w:w="100" w:type="dxa"/>
              <w:bottom w:w="90" w:type="dxa"/>
              <w:end w:w="100" w:type="dxa"/>
            </w:tcMar>
          </w:tcPr>
          <w:p>
            <w:pPr>
              <w:jc w:val="center"/>
            </w:pPr>
            <w:r>
              <w:rPr>
                <w:b/>
                <w:color w:val="FFFFFF"/>
                <w:sz w:val="16"/>
              </w:rPr>
              <w:t>Planning formula</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Rent</w:t>
            </w:r>
          </w:p>
        </w:tc>
        <w:tc>
          <w:tcPr>
            <w:tcW w:type="dxa" w:w="3528"/>
            <w:vAlign w:val="center"/>
            <w:tcMar>
              <w:top w:w="90" w:type="dxa"/>
              <w:start w:w="100" w:type="dxa"/>
              <w:bottom w:w="90" w:type="dxa"/>
              <w:end w:w="100" w:type="dxa"/>
            </w:tcMar>
          </w:tcPr>
          <w:p>
            <w:pPr>
              <w:spacing w:after="0" w:line="240" w:lineRule="auto"/>
              <w:jc w:val="left"/>
            </w:pPr>
            <w:r>
              <w:rPr>
                <w:color w:val="232D37"/>
                <w:sz w:val="16"/>
              </w:rPr>
              <w:t>Chargeable area, contracted rate, escalation</w:t>
            </w:r>
          </w:p>
        </w:tc>
        <w:tc>
          <w:tcPr>
            <w:tcW w:type="dxa" w:w="5040"/>
            <w:vAlign w:val="center"/>
            <w:tcMar>
              <w:top w:w="90" w:type="dxa"/>
              <w:start w:w="100" w:type="dxa"/>
              <w:bottom w:w="90" w:type="dxa"/>
              <w:end w:w="100" w:type="dxa"/>
            </w:tcMar>
          </w:tcPr>
          <w:p>
            <w:pPr>
              <w:spacing w:after="0" w:line="240" w:lineRule="auto"/>
              <w:jc w:val="left"/>
            </w:pPr>
            <w:r>
              <w:rPr>
                <w:color w:val="232D37"/>
                <w:sz w:val="16"/>
              </w:rPr>
              <w:t>Area x monthly rate x months + escalation + taxes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Electricity</w:t>
            </w:r>
          </w:p>
        </w:tc>
        <w:tc>
          <w:tcPr>
            <w:tcW w:type="dxa" w:w="3528"/>
            <w:vAlign w:val="center"/>
            <w:tcMar>
              <w:top w:w="90" w:type="dxa"/>
              <w:start w:w="100" w:type="dxa"/>
              <w:bottom w:w="90" w:type="dxa"/>
              <w:end w:w="100" w:type="dxa"/>
            </w:tcMar>
            <w:shd w:fill="F2F6FA"/>
          </w:tcPr>
          <w:p>
            <w:pPr>
              <w:spacing w:after="0" w:line="240" w:lineRule="auto"/>
              <w:jc w:val="left"/>
            </w:pPr>
            <w:r>
              <w:rPr>
                <w:color w:val="232D37"/>
                <w:sz w:val="16"/>
              </w:rPr>
              <w:t>Area, operating hours, equipment load, tariff</w:t>
            </w:r>
          </w:p>
        </w:tc>
        <w:tc>
          <w:tcPr>
            <w:tcW w:type="dxa" w:w="5040"/>
            <w:vAlign w:val="center"/>
            <w:tcMar>
              <w:top w:w="90" w:type="dxa"/>
              <w:start w:w="100" w:type="dxa"/>
              <w:bottom w:w="90" w:type="dxa"/>
              <w:end w:w="100" w:type="dxa"/>
            </w:tcMar>
            <w:shd w:fill="F2F6FA"/>
          </w:tcPr>
          <w:p>
            <w:pPr>
              <w:spacing w:after="0" w:line="240" w:lineRule="auto"/>
              <w:jc w:val="left"/>
            </w:pPr>
            <w:r>
              <w:rPr>
                <w:color w:val="232D37"/>
                <w:sz w:val="16"/>
              </w:rPr>
              <w:t>Forecast kWh x tariff + demand/fixed charges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Housekeeping manpower</w:t>
            </w:r>
          </w:p>
        </w:tc>
        <w:tc>
          <w:tcPr>
            <w:tcW w:type="dxa" w:w="3528"/>
            <w:vAlign w:val="center"/>
            <w:tcMar>
              <w:top w:w="90" w:type="dxa"/>
              <w:start w:w="100" w:type="dxa"/>
              <w:bottom w:w="90" w:type="dxa"/>
              <w:end w:w="100" w:type="dxa"/>
            </w:tcMar>
          </w:tcPr>
          <w:p>
            <w:pPr>
              <w:spacing w:after="0" w:line="240" w:lineRule="auto"/>
              <w:jc w:val="left"/>
            </w:pPr>
            <w:r>
              <w:rPr>
                <w:color w:val="232D37"/>
                <w:sz w:val="16"/>
              </w:rPr>
              <w:t>Area, footfall, shift and service level</w:t>
            </w:r>
          </w:p>
        </w:tc>
        <w:tc>
          <w:tcPr>
            <w:tcW w:type="dxa" w:w="5040"/>
            <w:vAlign w:val="center"/>
            <w:tcMar>
              <w:top w:w="90" w:type="dxa"/>
              <w:start w:w="100" w:type="dxa"/>
              <w:bottom w:w="90" w:type="dxa"/>
              <w:end w:w="100" w:type="dxa"/>
            </w:tcMar>
          </w:tcPr>
          <w:p>
            <w:pPr>
              <w:spacing w:after="0" w:line="240" w:lineRule="auto"/>
              <w:jc w:val="left"/>
            </w:pPr>
            <w:r>
              <w:rPr>
                <w:color w:val="232D37"/>
                <w:sz w:val="16"/>
              </w:rPr>
              <w:t>Approved deployment x wage structure x months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HK consumables</w:t>
            </w:r>
          </w:p>
        </w:tc>
        <w:tc>
          <w:tcPr>
            <w:tcW w:type="dxa" w:w="3528"/>
            <w:vAlign w:val="center"/>
            <w:tcMar>
              <w:top w:w="90" w:type="dxa"/>
              <w:start w:w="100" w:type="dxa"/>
              <w:bottom w:w="90" w:type="dxa"/>
              <w:end w:w="100" w:type="dxa"/>
            </w:tcMar>
            <w:shd w:fill="F2F6FA"/>
          </w:tcPr>
          <w:p>
            <w:pPr>
              <w:spacing w:after="0" w:line="240" w:lineRule="auto"/>
              <w:jc w:val="left"/>
            </w:pPr>
            <w:r>
              <w:rPr>
                <w:color w:val="232D37"/>
                <w:sz w:val="16"/>
              </w:rPr>
              <w:t>Area, washroom count, footfall</w:t>
            </w:r>
          </w:p>
        </w:tc>
        <w:tc>
          <w:tcPr>
            <w:tcW w:type="dxa" w:w="5040"/>
            <w:vAlign w:val="center"/>
            <w:tcMar>
              <w:top w:w="90" w:type="dxa"/>
              <w:start w:w="100" w:type="dxa"/>
              <w:bottom w:w="90" w:type="dxa"/>
              <w:end w:w="100" w:type="dxa"/>
            </w:tcMar>
            <w:shd w:fill="F2F6FA"/>
          </w:tcPr>
          <w:p>
            <w:pPr>
              <w:spacing w:after="0" w:line="240" w:lineRule="auto"/>
              <w:jc w:val="left"/>
            </w:pPr>
            <w:r>
              <w:rPr>
                <w:color w:val="232D37"/>
                <w:sz w:val="16"/>
              </w:rPr>
              <w:t>Standard consumption norms x driver x rate</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Stationery</w:t>
            </w:r>
          </w:p>
        </w:tc>
        <w:tc>
          <w:tcPr>
            <w:tcW w:type="dxa" w:w="3528"/>
            <w:vAlign w:val="center"/>
            <w:tcMar>
              <w:top w:w="90" w:type="dxa"/>
              <w:start w:w="100" w:type="dxa"/>
              <w:bottom w:w="90" w:type="dxa"/>
              <w:end w:w="100" w:type="dxa"/>
            </w:tcMar>
          </w:tcPr>
          <w:p>
            <w:pPr>
              <w:spacing w:after="0" w:line="240" w:lineRule="auto"/>
              <w:jc w:val="left"/>
            </w:pPr>
            <w:r>
              <w:rPr>
                <w:color w:val="232D37"/>
                <w:sz w:val="16"/>
              </w:rPr>
              <w:t>Headcount, transaction volume, entitlement</w:t>
            </w:r>
          </w:p>
        </w:tc>
        <w:tc>
          <w:tcPr>
            <w:tcW w:type="dxa" w:w="5040"/>
            <w:vAlign w:val="center"/>
            <w:tcMar>
              <w:top w:w="90" w:type="dxa"/>
              <w:start w:w="100" w:type="dxa"/>
              <w:bottom w:w="90" w:type="dxa"/>
              <w:end w:w="100" w:type="dxa"/>
            </w:tcMar>
          </w:tcPr>
          <w:p>
            <w:pPr>
              <w:spacing w:after="0" w:line="240" w:lineRule="auto"/>
              <w:jc w:val="left"/>
            </w:pPr>
            <w:r>
              <w:rPr>
                <w:color w:val="232D37"/>
                <w:sz w:val="16"/>
              </w:rPr>
              <w:t>Quantity forecast x contracted rate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AMC</w:t>
            </w:r>
          </w:p>
        </w:tc>
        <w:tc>
          <w:tcPr>
            <w:tcW w:type="dxa" w:w="3528"/>
            <w:vAlign w:val="center"/>
            <w:tcMar>
              <w:top w:w="90" w:type="dxa"/>
              <w:start w:w="100" w:type="dxa"/>
              <w:bottom w:w="90" w:type="dxa"/>
              <w:end w:w="100" w:type="dxa"/>
            </w:tcMar>
            <w:shd w:fill="F2F6FA"/>
          </w:tcPr>
          <w:p>
            <w:pPr>
              <w:spacing w:after="0" w:line="240" w:lineRule="auto"/>
              <w:jc w:val="left"/>
            </w:pPr>
            <w:r>
              <w:rPr>
                <w:color w:val="232D37"/>
                <w:sz w:val="16"/>
              </w:rPr>
              <w:t>Covered assets and contract rate</w:t>
            </w:r>
          </w:p>
        </w:tc>
        <w:tc>
          <w:tcPr>
            <w:tcW w:type="dxa" w:w="5040"/>
            <w:vAlign w:val="center"/>
            <w:tcMar>
              <w:top w:w="90" w:type="dxa"/>
              <w:start w:w="100" w:type="dxa"/>
              <w:bottom w:w="90" w:type="dxa"/>
              <w:end w:w="100" w:type="dxa"/>
            </w:tcMar>
            <w:shd w:fill="F2F6FA"/>
          </w:tcPr>
          <w:p>
            <w:pPr>
              <w:spacing w:after="0" w:line="240" w:lineRule="auto"/>
              <w:jc w:val="left"/>
            </w:pPr>
            <w:r>
              <w:rPr>
                <w:color w:val="232D37"/>
                <w:sz w:val="16"/>
              </w:rPr>
              <w:t>Asset/site coverage x annual rate +/- additions/deletions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Repairs</w:t>
            </w:r>
          </w:p>
        </w:tc>
        <w:tc>
          <w:tcPr>
            <w:tcW w:type="dxa" w:w="3528"/>
            <w:vAlign w:val="center"/>
            <w:tcMar>
              <w:top w:w="90" w:type="dxa"/>
              <w:start w:w="100" w:type="dxa"/>
              <w:bottom w:w="90" w:type="dxa"/>
              <w:end w:w="100" w:type="dxa"/>
            </w:tcMar>
          </w:tcPr>
          <w:p>
            <w:pPr>
              <w:spacing w:after="0" w:line="240" w:lineRule="auto"/>
              <w:jc w:val="left"/>
            </w:pPr>
            <w:r>
              <w:rPr>
                <w:color w:val="232D37"/>
                <w:sz w:val="16"/>
              </w:rPr>
              <w:t>Asset condition and historical failure</w:t>
            </w:r>
          </w:p>
        </w:tc>
        <w:tc>
          <w:tcPr>
            <w:tcW w:type="dxa" w:w="5040"/>
            <w:vAlign w:val="center"/>
            <w:tcMar>
              <w:top w:w="90" w:type="dxa"/>
              <w:start w:w="100" w:type="dxa"/>
              <w:bottom w:w="90" w:type="dxa"/>
              <w:end w:w="100" w:type="dxa"/>
            </w:tcMar>
          </w:tcPr>
          <w:p>
            <w:pPr>
              <w:spacing w:after="0" w:line="240" w:lineRule="auto"/>
              <w:jc w:val="left"/>
            </w:pPr>
            <w:r>
              <w:rPr>
                <w:color w:val="232D37"/>
                <w:sz w:val="16"/>
              </w:rPr>
              <w:t>Planned jobs + risk allowance + reactive baseline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Projects</w:t>
            </w:r>
          </w:p>
        </w:tc>
        <w:tc>
          <w:tcPr>
            <w:tcW w:type="dxa" w:w="3528"/>
            <w:vAlign w:val="center"/>
            <w:tcMar>
              <w:top w:w="90" w:type="dxa"/>
              <w:start w:w="100" w:type="dxa"/>
              <w:bottom w:w="90" w:type="dxa"/>
              <w:end w:w="100" w:type="dxa"/>
            </w:tcMar>
            <w:shd w:fill="F2F6FA"/>
          </w:tcPr>
          <w:p>
            <w:pPr>
              <w:spacing w:after="0" w:line="240" w:lineRule="auto"/>
              <w:jc w:val="left"/>
            </w:pPr>
            <w:r>
              <w:rPr>
                <w:color w:val="232D37"/>
                <w:sz w:val="16"/>
              </w:rPr>
              <w:t>Approved scope, BOQ and schedule</w:t>
            </w:r>
          </w:p>
        </w:tc>
        <w:tc>
          <w:tcPr>
            <w:tcW w:type="dxa" w:w="5040"/>
            <w:vAlign w:val="center"/>
            <w:tcMar>
              <w:top w:w="90" w:type="dxa"/>
              <w:start w:w="100" w:type="dxa"/>
              <w:bottom w:w="90" w:type="dxa"/>
              <w:end w:w="100" w:type="dxa"/>
            </w:tcMar>
            <w:shd w:fill="F2F6FA"/>
          </w:tcPr>
          <w:p>
            <w:pPr>
              <w:spacing w:after="0" w:line="240" w:lineRule="auto"/>
              <w:jc w:val="left"/>
            </w:pPr>
            <w:r>
              <w:rPr>
                <w:color w:val="232D37"/>
                <w:sz w:val="16"/>
              </w:rPr>
              <w:t>Milestone cash flow + contingency</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Waste and sustainability</w:t>
            </w:r>
          </w:p>
        </w:tc>
        <w:tc>
          <w:tcPr>
            <w:tcW w:type="dxa" w:w="3528"/>
            <w:vAlign w:val="center"/>
            <w:tcMar>
              <w:top w:w="90" w:type="dxa"/>
              <w:start w:w="100" w:type="dxa"/>
              <w:bottom w:w="90" w:type="dxa"/>
              <w:end w:w="100" w:type="dxa"/>
            </w:tcMar>
          </w:tcPr>
          <w:p>
            <w:pPr>
              <w:spacing w:after="0" w:line="240" w:lineRule="auto"/>
              <w:jc w:val="left"/>
            </w:pPr>
            <w:r>
              <w:rPr>
                <w:color w:val="232D37"/>
                <w:sz w:val="16"/>
              </w:rPr>
              <w:t>Waste volume, certification, targets</w:t>
            </w:r>
          </w:p>
        </w:tc>
        <w:tc>
          <w:tcPr>
            <w:tcW w:type="dxa" w:w="5040"/>
            <w:vAlign w:val="center"/>
            <w:tcMar>
              <w:top w:w="90" w:type="dxa"/>
              <w:start w:w="100" w:type="dxa"/>
              <w:bottom w:w="90" w:type="dxa"/>
              <w:end w:w="100" w:type="dxa"/>
            </w:tcMar>
          </w:tcPr>
          <w:p>
            <w:pPr>
              <w:spacing w:after="0" w:line="240" w:lineRule="auto"/>
              <w:jc w:val="left"/>
            </w:pPr>
            <w:r>
              <w:rPr>
                <w:color w:val="232D37"/>
                <w:sz w:val="16"/>
              </w:rPr>
              <w:t>Volume x treatment rate + programme cost</w:t>
            </w:r>
          </w:p>
        </w:tc>
      </w:tr>
    </w:tbl>
    <w:p>
      <w:pPr>
        <w:spacing w:after="40"/>
      </w:pPr>
    </w:p>
    <w:p>
      <w:pPr>
        <w:pStyle w:val="Heading2"/>
        <w:keepNext/>
      </w:pPr>
      <w:r>
        <w:t>7.5 Cost allocation and chargeback</w:t>
      </w:r>
    </w:p>
    <w:p>
      <w:pPr>
        <w:pStyle w:val="ListBullet"/>
      </w:pPr>
      <w:r>
        <w:t>Direct charge: expense uniquely attributable to one location, department, project or business unit.</w:t>
      </w:r>
    </w:p>
    <w:p>
      <w:pPr>
        <w:pStyle w:val="ListBullet"/>
      </w:pPr>
      <w:r>
        <w:t>Shared fixed allocation: predetermined percentage for reception, security or common corporate facilities.</w:t>
      </w:r>
    </w:p>
    <w:p>
      <w:pPr>
        <w:pStyle w:val="ListBullet"/>
      </w:pPr>
      <w:r>
        <w:t>Area allocation: carpet/chargeable area for rent, cleaning and common utilities.</w:t>
      </w:r>
    </w:p>
    <w:p>
      <w:pPr>
        <w:pStyle w:val="ListBullet"/>
      </w:pPr>
      <w:r>
        <w:t>Seat/headcount allocation: workplace services, stationery or amenities.</w:t>
      </w:r>
    </w:p>
    <w:p>
      <w:pPr>
        <w:pStyle w:val="ListBullet"/>
      </w:pPr>
      <w:r>
        <w:t>Metered allocation: electricity, water, printing or equipment usage.</w:t>
      </w:r>
    </w:p>
    <w:p>
      <w:pPr>
        <w:pStyle w:val="ListBullet"/>
      </w:pPr>
      <w:r>
        <w:t>Transaction allocation: courier shipments, service requests, customer footfall or events.</w:t>
      </w:r>
    </w:p>
    <w:p>
      <w:pPr>
        <w:pStyle w:val="ListBullet"/>
      </w:pPr>
      <w:r>
        <w:t>Hybrid allocation: fixed base plus variable usage, with corporate subsidy where approved.</w:t>
      </w:r>
    </w:p>
    <w:p>
      <w:pPr>
        <w:pStyle w:val="ListBullet"/>
      </w:pPr>
      <w:r>
        <w:t>Unallocated/central cost: retained centrally when allocation would not be meaningful or policy permits.</w:t>
      </w:r>
    </w:p>
    <w:p>
      <w:pPr>
        <w:pStyle w:val="Heading1"/>
        <w:keepNext/>
      </w:pPr>
      <w:r>
        <w:t>8. Procurement, Vendor, Contract and Billing Management</w:t>
      </w:r>
    </w:p>
    <w:p>
      <w:pPr>
        <w:pStyle w:val="Heading2"/>
        <w:keepNext/>
      </w:pPr>
      <w:r>
        <w:t>8.1 Source-to-pay lifecycle</w:t>
      </w:r>
    </w:p>
    <w:p>
      <w:pPr>
        <w:pStyle w:val="ListNumber"/>
      </w:pPr>
      <w:r>
        <w:t>Demand raised from budget plan, asset replacement, ticket, PM plan, stock reorder, lease milestone or approved project.</w:t>
      </w:r>
    </w:p>
    <w:p>
      <w:pPr>
        <w:pStyle w:val="ListNumber"/>
      </w:pPr>
      <w:r>
        <w:t>Scope/specification and service-level requirements validated; make/buy and bundling decision recorded.</w:t>
      </w:r>
    </w:p>
    <w:p>
      <w:pPr>
        <w:pStyle w:val="ListNumber"/>
      </w:pPr>
      <w:r>
        <w:t>Budget availability checked and purchase requisition approved under delegation of authority.</w:t>
      </w:r>
    </w:p>
    <w:p>
      <w:pPr>
        <w:pStyle w:val="ListNumber"/>
      </w:pPr>
      <w:r>
        <w:t>Sourcing route selected: catalogue, rate contract, quotation, tender, OEM/sole source or emergency procurement.</w:t>
      </w:r>
    </w:p>
    <w:p>
      <w:pPr>
        <w:pStyle w:val="ListNumber"/>
      </w:pPr>
      <w:r>
        <w:t>Technical and commercial evaluation completed with conflict-of-interest and risk controls.</w:t>
      </w:r>
    </w:p>
    <w:p>
      <w:pPr>
        <w:pStyle w:val="ListNumber"/>
      </w:pPr>
      <w:r>
        <w:t>Vendor selected, contract/PO issued and required securities/insurance captured.</w:t>
      </w:r>
    </w:p>
    <w:p>
      <w:pPr>
        <w:pStyle w:val="ListNumber"/>
      </w:pPr>
      <w:r>
        <w:t>Goods or services delivered; quantity, quality, attendance, SLA and evidence certified.</w:t>
      </w:r>
    </w:p>
    <w:p>
      <w:pPr>
        <w:pStyle w:val="ListNumber"/>
      </w:pPr>
      <w:r>
        <w:t>Invoice matched with PO/contract, receipt, tax and penalty; exception routed for resolution.</w:t>
      </w:r>
    </w:p>
    <w:p>
      <w:pPr>
        <w:pStyle w:val="ListNumber"/>
      </w:pPr>
      <w:r>
        <w:t>Payment status integrated from finance; retention, deposit and credit notes tracked.</w:t>
      </w:r>
    </w:p>
    <w:p>
      <w:pPr>
        <w:pStyle w:val="ListNumber"/>
      </w:pPr>
      <w:r>
        <w:t>Vendor performance and contract renewal/closure completed.</w:t>
      </w:r>
    </w:p>
    <w:p>
      <w:pPr>
        <w:pStyle w:val="Heading2"/>
        <w:keepNext/>
      </w:pPr>
      <w:r>
        <w:t>8.2 Vendor master and risk profile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800"/>
            <w:shd w:fill="17365D"/>
            <w:vAlign w:val="center"/>
            <w:tcMar>
              <w:top w:w="90" w:type="dxa"/>
              <w:start w:w="100" w:type="dxa"/>
              <w:bottom w:w="90" w:type="dxa"/>
              <w:end w:w="100" w:type="dxa"/>
            </w:tcMar>
          </w:tcPr>
          <w:p>
            <w:pPr>
              <w:jc w:val="center"/>
            </w:pPr>
            <w:r>
              <w:rPr>
                <w:b/>
                <w:color w:val="FFFFFF"/>
                <w:sz w:val="16"/>
              </w:rPr>
              <w:t>Domain</w:t>
            </w:r>
          </w:p>
        </w:tc>
        <w:tc>
          <w:tcPr>
            <w:tcW w:type="dxa" w:w="8568"/>
            <w:shd w:fill="17365D"/>
            <w:vAlign w:val="center"/>
            <w:tcMar>
              <w:top w:w="90" w:type="dxa"/>
              <w:start w:w="100" w:type="dxa"/>
              <w:bottom w:w="90" w:type="dxa"/>
              <w:end w:w="100" w:type="dxa"/>
            </w:tcMar>
          </w:tcPr>
          <w:p>
            <w:pPr>
              <w:jc w:val="center"/>
            </w:pPr>
            <w:r>
              <w:rPr>
                <w:b/>
                <w:color w:val="FFFFFF"/>
                <w:sz w:val="16"/>
              </w:rPr>
              <w:t>Required data</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Identity</w:t>
            </w:r>
          </w:p>
        </w:tc>
        <w:tc>
          <w:tcPr>
            <w:tcW w:type="dxa" w:w="8568"/>
            <w:vAlign w:val="center"/>
            <w:tcMar>
              <w:top w:w="90" w:type="dxa"/>
              <w:start w:w="100" w:type="dxa"/>
              <w:bottom w:w="90" w:type="dxa"/>
              <w:end w:w="100" w:type="dxa"/>
            </w:tcMar>
          </w:tcPr>
          <w:p>
            <w:pPr>
              <w:spacing w:after="0" w:line="240" w:lineRule="auto"/>
              <w:jc w:val="left"/>
            </w:pPr>
            <w:r>
              <w:rPr>
                <w:color w:val="232D37"/>
                <w:sz w:val="16"/>
              </w:rPr>
              <w:t>Vendor ID, legal name, trade name, entity type, registration and addresses</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Tax/banking</w:t>
            </w:r>
          </w:p>
        </w:tc>
        <w:tc>
          <w:tcPr>
            <w:tcW w:type="dxa" w:w="8568"/>
            <w:vAlign w:val="center"/>
            <w:tcMar>
              <w:top w:w="90" w:type="dxa"/>
              <w:start w:w="100" w:type="dxa"/>
              <w:bottom w:w="90" w:type="dxa"/>
              <w:end w:w="100" w:type="dxa"/>
            </w:tcMar>
            <w:shd w:fill="F2F6FA"/>
          </w:tcPr>
          <w:p>
            <w:pPr>
              <w:spacing w:after="0" w:line="240" w:lineRule="auto"/>
              <w:jc w:val="left"/>
            </w:pPr>
            <w:r>
              <w:rPr>
                <w:color w:val="232D37"/>
                <w:sz w:val="16"/>
              </w:rPr>
              <w:t>Tax registrations, bank details, verification status, payment terms and currency</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Capability</w:t>
            </w:r>
          </w:p>
        </w:tc>
        <w:tc>
          <w:tcPr>
            <w:tcW w:type="dxa" w:w="8568"/>
            <w:vAlign w:val="center"/>
            <w:tcMar>
              <w:top w:w="90" w:type="dxa"/>
              <w:start w:w="100" w:type="dxa"/>
              <w:bottom w:w="90" w:type="dxa"/>
              <w:end w:w="100" w:type="dxa"/>
            </w:tcMar>
          </w:tcPr>
          <w:p>
            <w:pPr>
              <w:spacing w:after="0" w:line="240" w:lineRule="auto"/>
              <w:jc w:val="left"/>
            </w:pPr>
            <w:r>
              <w:rPr>
                <w:color w:val="232D37"/>
                <w:sz w:val="16"/>
              </w:rPr>
              <w:t>Service categories, OEM authorisation, geography, manpower, equipment and capacity</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Compliance</w:t>
            </w:r>
          </w:p>
        </w:tc>
        <w:tc>
          <w:tcPr>
            <w:tcW w:type="dxa" w:w="8568"/>
            <w:vAlign w:val="center"/>
            <w:tcMar>
              <w:top w:w="90" w:type="dxa"/>
              <w:start w:w="100" w:type="dxa"/>
              <w:bottom w:w="90" w:type="dxa"/>
              <w:end w:w="100" w:type="dxa"/>
            </w:tcMar>
            <w:shd w:fill="F2F6FA"/>
          </w:tcPr>
          <w:p>
            <w:pPr>
              <w:spacing w:after="0" w:line="240" w:lineRule="auto"/>
              <w:jc w:val="left"/>
            </w:pPr>
            <w:r>
              <w:rPr>
                <w:color w:val="232D37"/>
                <w:sz w:val="16"/>
              </w:rPr>
              <w:t>Licences, labour compliance, insurance, safety, data/privacy, background checks and expiry dates</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Commercial</w:t>
            </w:r>
          </w:p>
        </w:tc>
        <w:tc>
          <w:tcPr>
            <w:tcW w:type="dxa" w:w="8568"/>
            <w:vAlign w:val="center"/>
            <w:tcMar>
              <w:top w:w="90" w:type="dxa"/>
              <w:start w:w="100" w:type="dxa"/>
              <w:bottom w:w="90" w:type="dxa"/>
              <w:end w:w="100" w:type="dxa"/>
            </w:tcMar>
          </w:tcPr>
          <w:p>
            <w:pPr>
              <w:spacing w:after="0" w:line="240" w:lineRule="auto"/>
              <w:jc w:val="left"/>
            </w:pPr>
            <w:r>
              <w:rPr>
                <w:color w:val="232D37"/>
                <w:sz w:val="16"/>
              </w:rPr>
              <w:t>Rate cards, contracts, security deposit, guarantees, retention and escalation</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Contacts</w:t>
            </w:r>
          </w:p>
        </w:tc>
        <w:tc>
          <w:tcPr>
            <w:tcW w:type="dxa" w:w="8568"/>
            <w:vAlign w:val="center"/>
            <w:tcMar>
              <w:top w:w="90" w:type="dxa"/>
              <w:start w:w="100" w:type="dxa"/>
              <w:bottom w:w="90" w:type="dxa"/>
              <w:end w:w="100" w:type="dxa"/>
            </w:tcMar>
            <w:shd w:fill="F2F6FA"/>
          </w:tcPr>
          <w:p>
            <w:pPr>
              <w:spacing w:after="0" w:line="240" w:lineRule="auto"/>
              <w:jc w:val="left"/>
            </w:pPr>
            <w:r>
              <w:rPr>
                <w:color w:val="232D37"/>
                <w:sz w:val="16"/>
              </w:rPr>
              <w:t>Account manager, operational, escalation, billing and emergency contacts</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Risk</w:t>
            </w:r>
          </w:p>
        </w:tc>
        <w:tc>
          <w:tcPr>
            <w:tcW w:type="dxa" w:w="8568"/>
            <w:vAlign w:val="center"/>
            <w:tcMar>
              <w:top w:w="90" w:type="dxa"/>
              <w:start w:w="100" w:type="dxa"/>
              <w:bottom w:w="90" w:type="dxa"/>
              <w:end w:w="100" w:type="dxa"/>
            </w:tcMar>
          </w:tcPr>
          <w:p>
            <w:pPr>
              <w:spacing w:after="0" w:line="240" w:lineRule="auto"/>
              <w:jc w:val="left"/>
            </w:pPr>
            <w:r>
              <w:rPr>
                <w:color w:val="232D37"/>
                <w:sz w:val="16"/>
              </w:rPr>
              <w:t>Financial, concentration, criticality, country, information-security, ESG and continuity rating</w:t>
            </w:r>
          </w:p>
        </w:tc>
      </w:tr>
      <w:tr>
        <w:tc>
          <w:tcPr>
            <w:tcW w:type="dxa" w:w="1800"/>
            <w:vAlign w:val="center"/>
            <w:tcMar>
              <w:top w:w="90" w:type="dxa"/>
              <w:start w:w="100" w:type="dxa"/>
              <w:bottom w:w="90" w:type="dxa"/>
              <w:end w:w="100" w:type="dxa"/>
            </w:tcMar>
            <w:shd w:fill="F2F6FA"/>
          </w:tcPr>
          <w:p>
            <w:pPr>
              <w:spacing w:after="0" w:line="240" w:lineRule="auto"/>
              <w:jc w:val="center"/>
            </w:pPr>
            <w:r>
              <w:rPr>
                <w:color w:val="232D37"/>
                <w:sz w:val="16"/>
              </w:rPr>
              <w:t>Performance</w:t>
            </w:r>
          </w:p>
        </w:tc>
        <w:tc>
          <w:tcPr>
            <w:tcW w:type="dxa" w:w="8568"/>
            <w:vAlign w:val="center"/>
            <w:tcMar>
              <w:top w:w="90" w:type="dxa"/>
              <w:start w:w="100" w:type="dxa"/>
              <w:bottom w:w="90" w:type="dxa"/>
              <w:end w:w="100" w:type="dxa"/>
            </w:tcMar>
            <w:shd w:fill="F2F6FA"/>
          </w:tcPr>
          <w:p>
            <w:pPr>
              <w:spacing w:after="0" w:line="240" w:lineRule="auto"/>
              <w:jc w:val="left"/>
            </w:pPr>
            <w:r>
              <w:rPr>
                <w:color w:val="232D37"/>
                <w:sz w:val="16"/>
              </w:rPr>
              <w:t>SLA, quality, audit, invoice accuracy, incidents, responsiveness and user rating</w:t>
            </w:r>
          </w:p>
        </w:tc>
      </w:tr>
      <w:tr>
        <w:tc>
          <w:tcPr>
            <w:tcW w:type="dxa" w:w="1800"/>
            <w:vAlign w:val="center"/>
            <w:tcMar>
              <w:top w:w="90" w:type="dxa"/>
              <w:start w:w="100" w:type="dxa"/>
              <w:bottom w:w="90" w:type="dxa"/>
              <w:end w:w="100" w:type="dxa"/>
            </w:tcMar>
          </w:tcPr>
          <w:p>
            <w:pPr>
              <w:spacing w:after="0" w:line="240" w:lineRule="auto"/>
              <w:jc w:val="center"/>
            </w:pPr>
            <w:r>
              <w:rPr>
                <w:color w:val="232D37"/>
                <w:sz w:val="16"/>
              </w:rPr>
              <w:t>Status</w:t>
            </w:r>
          </w:p>
        </w:tc>
        <w:tc>
          <w:tcPr>
            <w:tcW w:type="dxa" w:w="8568"/>
            <w:vAlign w:val="center"/>
            <w:tcMar>
              <w:top w:w="90" w:type="dxa"/>
              <w:start w:w="100" w:type="dxa"/>
              <w:bottom w:w="90" w:type="dxa"/>
              <w:end w:w="100" w:type="dxa"/>
            </w:tcMar>
          </w:tcPr>
          <w:p>
            <w:pPr>
              <w:spacing w:after="0" w:line="240" w:lineRule="auto"/>
              <w:jc w:val="left"/>
            </w:pPr>
            <w:r>
              <w:rPr>
                <w:color w:val="232D37"/>
                <w:sz w:val="16"/>
              </w:rPr>
              <w:t>Prospect, empanelled, active, blocked, suspended, expired or offboarded</w:t>
            </w:r>
          </w:p>
        </w:tc>
      </w:tr>
    </w:tbl>
    <w:p>
      <w:pPr>
        <w:spacing w:after="40"/>
      </w:pPr>
    </w:p>
    <w:p>
      <w:pPr>
        <w:pStyle w:val="Heading2"/>
        <w:keepNext/>
      </w:pPr>
      <w:r>
        <w:t>8.3 Contract master</w:t>
      </w:r>
    </w:p>
    <w:p>
      <w:pPr>
        <w:pStyle w:val="ListBullet"/>
      </w:pPr>
      <w:r>
        <w:t>Contract ID, title, legal entity, vendor, owner, category, sites, assets and service catalogue items.</w:t>
      </w:r>
    </w:p>
    <w:p>
      <w:pPr>
        <w:pStyle w:val="ListBullet"/>
      </w:pPr>
      <w:r>
        <w:t>Effective, expiry, notice, renewal, lock-in, termination and milestone dates.</w:t>
      </w:r>
    </w:p>
    <w:p>
      <w:pPr>
        <w:pStyle w:val="ListBullet"/>
      </w:pPr>
      <w:r>
        <w:t>Scope, deliverables, SLA/KPI, service credits, penalties, incentives and exclusions.</w:t>
      </w:r>
    </w:p>
    <w:p>
      <w:pPr>
        <w:pStyle w:val="ListBullet"/>
      </w:pPr>
      <w:r>
        <w:t>Commercial model: fixed, unit-rate, manpower, outcome, cost-plus, consumption, hybrid or project milestone.</w:t>
      </w:r>
    </w:p>
    <w:p>
      <w:pPr>
        <w:pStyle w:val="ListBullet"/>
      </w:pPr>
      <w:r>
        <w:t>Rate card, taxes, escalation/indexation, minimum guarantee, cap, retention, advance and payment terms.</w:t>
      </w:r>
    </w:p>
    <w:p>
      <w:pPr>
        <w:pStyle w:val="ListBullet"/>
      </w:pPr>
      <w:r>
        <w:t>Insurance, bank guarantee, performance security, indemnity, confidentiality, data and audit obligations.</w:t>
      </w:r>
    </w:p>
    <w:p>
      <w:pPr>
        <w:pStyle w:val="ListBullet"/>
      </w:pPr>
      <w:r>
        <w:t>Subcontracting, key personnel, business continuity, transition, exit support and asset/data return.</w:t>
      </w:r>
    </w:p>
    <w:p>
      <w:pPr>
        <w:pStyle w:val="ListBullet"/>
      </w:pPr>
      <w:r>
        <w:t>Document versions, amendments, legal approvals, deviations, obligations and renewal decision.</w:t>
      </w:r>
    </w:p>
    <w:p>
      <w:pPr>
        <w:pStyle w:val="Heading2"/>
        <w:keepNext/>
      </w:pPr>
      <w:r>
        <w:t>8.4 Invoice certification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16"/>
            <w:shd w:fill="17365D"/>
            <w:vAlign w:val="center"/>
            <w:tcMar>
              <w:top w:w="90" w:type="dxa"/>
              <w:start w:w="100" w:type="dxa"/>
              <w:bottom w:w="90" w:type="dxa"/>
              <w:end w:w="100" w:type="dxa"/>
            </w:tcMar>
          </w:tcPr>
          <w:p>
            <w:pPr>
              <w:jc w:val="center"/>
            </w:pPr>
            <w:r>
              <w:rPr>
                <w:b/>
                <w:color w:val="FFFFFF"/>
                <w:sz w:val="16"/>
              </w:rPr>
              <w:t>Check</w:t>
            </w:r>
          </w:p>
        </w:tc>
        <w:tc>
          <w:tcPr>
            <w:tcW w:type="dxa" w:w="8352"/>
            <w:shd w:fill="17365D"/>
            <w:vAlign w:val="center"/>
            <w:tcMar>
              <w:top w:w="90" w:type="dxa"/>
              <w:start w:w="100" w:type="dxa"/>
              <w:bottom w:w="90" w:type="dxa"/>
              <w:end w:w="100" w:type="dxa"/>
            </w:tcMar>
          </w:tcPr>
          <w:p>
            <w:pPr>
              <w:jc w:val="center"/>
            </w:pPr>
            <w:r>
              <w:rPr>
                <w:b/>
                <w:color w:val="FFFFFF"/>
                <w:sz w:val="16"/>
              </w:rPr>
              <w:t>Examples</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Commercial match</w:t>
            </w:r>
          </w:p>
        </w:tc>
        <w:tc>
          <w:tcPr>
            <w:tcW w:type="dxa" w:w="8352"/>
            <w:vAlign w:val="center"/>
            <w:tcMar>
              <w:top w:w="90" w:type="dxa"/>
              <w:start w:w="100" w:type="dxa"/>
              <w:bottom w:w="90" w:type="dxa"/>
              <w:end w:w="100" w:type="dxa"/>
            </w:tcMar>
          </w:tcPr>
          <w:p>
            <w:pPr>
              <w:spacing w:after="0" w:line="240" w:lineRule="auto"/>
              <w:jc w:val="left"/>
            </w:pPr>
            <w:r>
              <w:rPr>
                <w:color w:val="232D37"/>
                <w:sz w:val="16"/>
              </w:rPr>
              <w:t>Contract/PO, rate, quantity, period, tax, escalation and site coverage</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Service evidence</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Attendance, work orders, PM completion, inspection score, meter/consumption and delivery proof</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Asset/site changes</w:t>
            </w:r>
          </w:p>
        </w:tc>
        <w:tc>
          <w:tcPr>
            <w:tcW w:type="dxa" w:w="8352"/>
            <w:vAlign w:val="center"/>
            <w:tcMar>
              <w:top w:w="90" w:type="dxa"/>
              <w:start w:w="100" w:type="dxa"/>
              <w:bottom w:w="90" w:type="dxa"/>
              <w:end w:w="100" w:type="dxa"/>
            </w:tcMar>
          </w:tcPr>
          <w:p>
            <w:pPr>
              <w:spacing w:after="0" w:line="240" w:lineRule="auto"/>
              <w:jc w:val="left"/>
            </w:pPr>
            <w:r>
              <w:rPr>
                <w:color w:val="232D37"/>
                <w:sz w:val="16"/>
              </w:rPr>
              <w:t>Pro-rata addition, deletion, relocation, closure and downtime</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SLA adjustments</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Penalty, service credit, incentive, absenteeism, quality deduction and repeat-failure charge</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Statutory compliance</w:t>
            </w:r>
          </w:p>
        </w:tc>
        <w:tc>
          <w:tcPr>
            <w:tcW w:type="dxa" w:w="8352"/>
            <w:vAlign w:val="center"/>
            <w:tcMar>
              <w:top w:w="90" w:type="dxa"/>
              <w:start w:w="100" w:type="dxa"/>
              <w:bottom w:w="90" w:type="dxa"/>
              <w:end w:w="100" w:type="dxa"/>
            </w:tcMar>
          </w:tcPr>
          <w:p>
            <w:pPr>
              <w:spacing w:after="0" w:line="240" w:lineRule="auto"/>
              <w:jc w:val="left"/>
            </w:pPr>
            <w:r>
              <w:rPr>
                <w:color w:val="232D37"/>
                <w:sz w:val="16"/>
              </w:rPr>
              <w:t>Required declarations, wage/labour evidence, insurance and tax documents</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Budget/accounting</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GL, cost centre, WBS, capitalization, accrual reversal and available budget</w:t>
            </w:r>
          </w:p>
        </w:tc>
      </w:tr>
      <w:tr>
        <w:tc>
          <w:tcPr>
            <w:tcW w:type="dxa" w:w="2016"/>
            <w:vAlign w:val="center"/>
            <w:tcMar>
              <w:top w:w="90" w:type="dxa"/>
              <w:start w:w="100" w:type="dxa"/>
              <w:bottom w:w="90" w:type="dxa"/>
              <w:end w:w="100" w:type="dxa"/>
            </w:tcMar>
          </w:tcPr>
          <w:p>
            <w:pPr>
              <w:spacing w:after="0" w:line="240" w:lineRule="auto"/>
              <w:jc w:val="center"/>
            </w:pPr>
            <w:r>
              <w:rPr>
                <w:color w:val="232D37"/>
                <w:sz w:val="16"/>
              </w:rPr>
              <w:t>Duplicate/fraud</w:t>
            </w:r>
          </w:p>
        </w:tc>
        <w:tc>
          <w:tcPr>
            <w:tcW w:type="dxa" w:w="8352"/>
            <w:vAlign w:val="center"/>
            <w:tcMar>
              <w:top w:w="90" w:type="dxa"/>
              <w:start w:w="100" w:type="dxa"/>
              <w:bottom w:w="90" w:type="dxa"/>
              <w:end w:w="100" w:type="dxa"/>
            </w:tcMar>
          </w:tcPr>
          <w:p>
            <w:pPr>
              <w:spacing w:after="0" w:line="240" w:lineRule="auto"/>
              <w:jc w:val="left"/>
            </w:pPr>
            <w:r>
              <w:rPr>
                <w:color w:val="232D37"/>
                <w:sz w:val="16"/>
              </w:rPr>
              <w:t>Invoice number, amount, period, bank change, split invoice and unusual pattern checks</w:t>
            </w:r>
          </w:p>
        </w:tc>
      </w:tr>
      <w:tr>
        <w:tc>
          <w:tcPr>
            <w:tcW w:type="dxa" w:w="2016"/>
            <w:vAlign w:val="center"/>
            <w:tcMar>
              <w:top w:w="90" w:type="dxa"/>
              <w:start w:w="100" w:type="dxa"/>
              <w:bottom w:w="90" w:type="dxa"/>
              <w:end w:w="100" w:type="dxa"/>
            </w:tcMar>
            <w:shd w:fill="F2F6FA"/>
          </w:tcPr>
          <w:p>
            <w:pPr>
              <w:spacing w:after="0" w:line="240" w:lineRule="auto"/>
              <w:jc w:val="center"/>
            </w:pPr>
            <w:r>
              <w:rPr>
                <w:color w:val="232D37"/>
                <w:sz w:val="16"/>
              </w:rPr>
              <w:t>Approval</w:t>
            </w:r>
          </w:p>
        </w:tc>
        <w:tc>
          <w:tcPr>
            <w:tcW w:type="dxa" w:w="8352"/>
            <w:vAlign w:val="center"/>
            <w:tcMar>
              <w:top w:w="90" w:type="dxa"/>
              <w:start w:w="100" w:type="dxa"/>
              <w:bottom w:w="90" w:type="dxa"/>
              <w:end w:w="100" w:type="dxa"/>
            </w:tcMar>
            <w:shd w:fill="F2F6FA"/>
          </w:tcPr>
          <w:p>
            <w:pPr>
              <w:spacing w:after="0" w:line="240" w:lineRule="auto"/>
              <w:jc w:val="left"/>
            </w:pPr>
            <w:r>
              <w:rPr>
                <w:color w:val="232D37"/>
                <w:sz w:val="16"/>
              </w:rPr>
              <w:t>Requestor confirmation, facility certification, contract owner, finance and authority matrix</w:t>
            </w:r>
          </w:p>
        </w:tc>
      </w:tr>
    </w:tbl>
    <w:p>
      <w:pPr>
        <w:spacing w:after="40"/>
      </w:pPr>
    </w:p>
    <w:p>
      <w:pPr>
        <w:pStyle w:val="Heading1"/>
        <w:keepNext/>
      </w:pPr>
      <w:r>
        <w:t>9. Requests, Incidents, Work Orders and Projects</w:t>
      </w:r>
    </w:p>
    <w:p>
      <w:pPr>
        <w:pStyle w:val="Heading2"/>
        <w:keepNext/>
      </w:pPr>
      <w:r>
        <w:t>9.1 Unified case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Case type</w:t>
            </w:r>
          </w:p>
        </w:tc>
        <w:tc>
          <w:tcPr>
            <w:tcW w:type="dxa" w:w="3456"/>
            <w:shd w:fill="17365D"/>
            <w:vAlign w:val="center"/>
            <w:tcMar>
              <w:top w:w="90" w:type="dxa"/>
              <w:start w:w="100" w:type="dxa"/>
              <w:bottom w:w="90" w:type="dxa"/>
              <w:end w:w="100" w:type="dxa"/>
            </w:tcMar>
          </w:tcPr>
          <w:p>
            <w:pPr>
              <w:jc w:val="center"/>
            </w:pPr>
            <w:r>
              <w:rPr>
                <w:b/>
                <w:color w:val="FFFFFF"/>
                <w:sz w:val="16"/>
              </w:rPr>
              <w:t>Trigger</w:t>
            </w:r>
          </w:p>
        </w:tc>
        <w:tc>
          <w:tcPr>
            <w:tcW w:type="dxa" w:w="4824"/>
            <w:shd w:fill="17365D"/>
            <w:vAlign w:val="center"/>
            <w:tcMar>
              <w:top w:w="90" w:type="dxa"/>
              <w:start w:w="100" w:type="dxa"/>
              <w:bottom w:w="90" w:type="dxa"/>
              <w:end w:w="100" w:type="dxa"/>
            </w:tcMar>
          </w:tcPr>
          <w:p>
            <w:pPr>
              <w:jc w:val="center"/>
            </w:pPr>
            <w:r>
              <w:rPr>
                <w:b/>
                <w:color w:val="FFFFFF"/>
                <w:sz w:val="16"/>
              </w:rPr>
              <w:t>Examples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Service request</w:t>
            </w:r>
          </w:p>
        </w:tc>
        <w:tc>
          <w:tcPr>
            <w:tcW w:type="dxa" w:w="3456"/>
            <w:vAlign w:val="center"/>
            <w:tcMar>
              <w:top w:w="90" w:type="dxa"/>
              <w:start w:w="100" w:type="dxa"/>
              <w:bottom w:w="90" w:type="dxa"/>
              <w:end w:w="100" w:type="dxa"/>
            </w:tcMar>
          </w:tcPr>
          <w:p>
            <w:pPr>
              <w:spacing w:after="0" w:line="240" w:lineRule="auto"/>
              <w:jc w:val="left"/>
            </w:pPr>
            <w:r>
              <w:rPr>
                <w:color w:val="232D37"/>
                <w:sz w:val="16"/>
              </w:rPr>
              <w:t>User asks for standard fulfilment</w:t>
            </w:r>
          </w:p>
        </w:tc>
        <w:tc>
          <w:tcPr>
            <w:tcW w:type="dxa" w:w="4824"/>
            <w:vAlign w:val="center"/>
            <w:tcMar>
              <w:top w:w="90" w:type="dxa"/>
              <w:start w:w="100" w:type="dxa"/>
              <w:bottom w:w="90" w:type="dxa"/>
              <w:end w:w="100" w:type="dxa"/>
            </w:tcMar>
          </w:tcPr>
          <w:p>
            <w:pPr>
              <w:spacing w:after="0" w:line="240" w:lineRule="auto"/>
              <w:jc w:val="left"/>
            </w:pPr>
            <w:r>
              <w:rPr>
                <w:color w:val="232D37"/>
                <w:sz w:val="16"/>
              </w:rPr>
              <w:t>Stationery, access support, setup, move, booking or catering</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Incident</w:t>
            </w:r>
          </w:p>
        </w:tc>
        <w:tc>
          <w:tcPr>
            <w:tcW w:type="dxa" w:w="3456"/>
            <w:vAlign w:val="center"/>
            <w:tcMar>
              <w:top w:w="90" w:type="dxa"/>
              <w:start w:w="100" w:type="dxa"/>
              <w:bottom w:w="90" w:type="dxa"/>
              <w:end w:w="100" w:type="dxa"/>
            </w:tcMar>
            <w:shd w:fill="F2F6FA"/>
          </w:tcPr>
          <w:p>
            <w:pPr>
              <w:spacing w:after="0" w:line="240" w:lineRule="auto"/>
              <w:jc w:val="left"/>
            </w:pPr>
            <w:r>
              <w:rPr>
                <w:color w:val="232D37"/>
                <w:sz w:val="16"/>
              </w:rPr>
              <w:t>Unplanned interruption or safety/quality issue</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6"/>
              </w:rPr>
              <w:t>AC failure, leak, power issue, cleanliness complaint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Complaint/feedback</w:t>
            </w:r>
          </w:p>
        </w:tc>
        <w:tc>
          <w:tcPr>
            <w:tcW w:type="dxa" w:w="3456"/>
            <w:vAlign w:val="center"/>
            <w:tcMar>
              <w:top w:w="90" w:type="dxa"/>
              <w:start w:w="100" w:type="dxa"/>
              <w:bottom w:w="90" w:type="dxa"/>
              <w:end w:w="100" w:type="dxa"/>
            </w:tcMar>
          </w:tcPr>
          <w:p>
            <w:pPr>
              <w:spacing w:after="0" w:line="240" w:lineRule="auto"/>
              <w:jc w:val="left"/>
            </w:pPr>
            <w:r>
              <w:rPr>
                <w:color w:val="232D37"/>
                <w:sz w:val="16"/>
              </w:rPr>
              <w:t>Experience or service-quality input</w:t>
            </w:r>
          </w:p>
        </w:tc>
        <w:tc>
          <w:tcPr>
            <w:tcW w:type="dxa" w:w="4824"/>
            <w:vAlign w:val="center"/>
            <w:tcMar>
              <w:top w:w="90" w:type="dxa"/>
              <w:start w:w="100" w:type="dxa"/>
              <w:bottom w:w="90" w:type="dxa"/>
              <w:end w:w="100" w:type="dxa"/>
            </w:tcMar>
          </w:tcPr>
          <w:p>
            <w:pPr>
              <w:spacing w:after="0" w:line="240" w:lineRule="auto"/>
              <w:jc w:val="left"/>
            </w:pPr>
            <w:r>
              <w:rPr>
                <w:color w:val="232D37"/>
                <w:sz w:val="16"/>
              </w:rPr>
              <w:t>Vendor behaviour, food quality, repeated delay</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Preventive work order</w:t>
            </w:r>
          </w:p>
        </w:tc>
        <w:tc>
          <w:tcPr>
            <w:tcW w:type="dxa" w:w="3456"/>
            <w:vAlign w:val="center"/>
            <w:tcMar>
              <w:top w:w="90" w:type="dxa"/>
              <w:start w:w="100" w:type="dxa"/>
              <w:bottom w:w="90" w:type="dxa"/>
              <w:end w:w="100" w:type="dxa"/>
            </w:tcMar>
            <w:shd w:fill="F2F6FA"/>
          </w:tcPr>
          <w:p>
            <w:pPr>
              <w:spacing w:after="0" w:line="240" w:lineRule="auto"/>
              <w:jc w:val="left"/>
            </w:pPr>
            <w:r>
              <w:rPr>
                <w:color w:val="232D37"/>
                <w:sz w:val="16"/>
              </w:rPr>
              <w:t>Calendar/meter/condition trigger</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6"/>
              </w:rPr>
              <w:t>Monthly PM, inspection or statutory test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Corrective work order</w:t>
            </w:r>
          </w:p>
        </w:tc>
        <w:tc>
          <w:tcPr>
            <w:tcW w:type="dxa" w:w="3456"/>
            <w:vAlign w:val="center"/>
            <w:tcMar>
              <w:top w:w="90" w:type="dxa"/>
              <w:start w:w="100" w:type="dxa"/>
              <w:bottom w:w="90" w:type="dxa"/>
              <w:end w:w="100" w:type="dxa"/>
            </w:tcMar>
          </w:tcPr>
          <w:p>
            <w:pPr>
              <w:spacing w:after="0" w:line="240" w:lineRule="auto"/>
              <w:jc w:val="left"/>
            </w:pPr>
            <w:r>
              <w:rPr>
                <w:color w:val="232D37"/>
                <w:sz w:val="16"/>
              </w:rPr>
              <w:t>Fault or inspection finding</w:t>
            </w:r>
          </w:p>
        </w:tc>
        <w:tc>
          <w:tcPr>
            <w:tcW w:type="dxa" w:w="4824"/>
            <w:vAlign w:val="center"/>
            <w:tcMar>
              <w:top w:w="90" w:type="dxa"/>
              <w:start w:w="100" w:type="dxa"/>
              <w:bottom w:w="90" w:type="dxa"/>
              <w:end w:w="100" w:type="dxa"/>
            </w:tcMar>
          </w:tcPr>
          <w:p>
            <w:pPr>
              <w:spacing w:after="0" w:line="240" w:lineRule="auto"/>
              <w:jc w:val="left"/>
            </w:pPr>
            <w:r>
              <w:rPr>
                <w:color w:val="232D37"/>
                <w:sz w:val="16"/>
              </w:rPr>
              <w:t>Repair, replacement or adjustment</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Change</w:t>
            </w:r>
          </w:p>
        </w:tc>
        <w:tc>
          <w:tcPr>
            <w:tcW w:type="dxa" w:w="3456"/>
            <w:vAlign w:val="center"/>
            <w:tcMar>
              <w:top w:w="90" w:type="dxa"/>
              <w:start w:w="100" w:type="dxa"/>
              <w:bottom w:w="90" w:type="dxa"/>
              <w:end w:w="100" w:type="dxa"/>
            </w:tcMar>
            <w:shd w:fill="F2F6FA"/>
          </w:tcPr>
          <w:p>
            <w:pPr>
              <w:spacing w:after="0" w:line="240" w:lineRule="auto"/>
              <w:jc w:val="left"/>
            </w:pPr>
            <w:r>
              <w:rPr>
                <w:color w:val="232D37"/>
                <w:sz w:val="16"/>
              </w:rPr>
              <w:t>Approved modification to infrastructure/service</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6"/>
              </w:rPr>
              <w:t>Shutdown, set-point change, access rule or layout change</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Project</w:t>
            </w:r>
          </w:p>
        </w:tc>
        <w:tc>
          <w:tcPr>
            <w:tcW w:type="dxa" w:w="3456"/>
            <w:vAlign w:val="center"/>
            <w:tcMar>
              <w:top w:w="90" w:type="dxa"/>
              <w:start w:w="100" w:type="dxa"/>
              <w:bottom w:w="90" w:type="dxa"/>
              <w:end w:w="100" w:type="dxa"/>
            </w:tcMar>
          </w:tcPr>
          <w:p>
            <w:pPr>
              <w:spacing w:after="0" w:line="240" w:lineRule="auto"/>
              <w:jc w:val="left"/>
            </w:pPr>
            <w:r>
              <w:rPr>
                <w:color w:val="232D37"/>
                <w:sz w:val="16"/>
              </w:rPr>
              <w:t>Multi-task scope with budget and milestones</w:t>
            </w:r>
          </w:p>
        </w:tc>
        <w:tc>
          <w:tcPr>
            <w:tcW w:type="dxa" w:w="4824"/>
            <w:vAlign w:val="center"/>
            <w:tcMar>
              <w:top w:w="90" w:type="dxa"/>
              <w:start w:w="100" w:type="dxa"/>
              <w:bottom w:w="90" w:type="dxa"/>
              <w:end w:w="100" w:type="dxa"/>
            </w:tcMar>
          </w:tcPr>
          <w:p>
            <w:pPr>
              <w:spacing w:after="0" w:line="240" w:lineRule="auto"/>
              <w:jc w:val="left"/>
            </w:pPr>
            <w:r>
              <w:rPr>
                <w:color w:val="232D37"/>
                <w:sz w:val="16"/>
              </w:rPr>
              <w:t>New branch, renovation, consolidation or energy upgrade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Compliance action</w:t>
            </w:r>
          </w:p>
        </w:tc>
        <w:tc>
          <w:tcPr>
            <w:tcW w:type="dxa" w:w="3456"/>
            <w:vAlign w:val="center"/>
            <w:tcMar>
              <w:top w:w="90" w:type="dxa"/>
              <w:start w:w="100" w:type="dxa"/>
              <w:bottom w:w="90" w:type="dxa"/>
              <w:end w:w="100" w:type="dxa"/>
            </w:tcMar>
            <w:shd w:fill="F2F6FA"/>
          </w:tcPr>
          <w:p>
            <w:pPr>
              <w:spacing w:after="0" w:line="240" w:lineRule="auto"/>
              <w:jc w:val="left"/>
            </w:pPr>
            <w:r>
              <w:rPr>
                <w:color w:val="232D37"/>
                <w:sz w:val="16"/>
              </w:rPr>
              <w:t>Audit or expiry trigger</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6"/>
              </w:rPr>
              <w:t>Renewal, corrective action or evidence submission</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Emergency</w:t>
            </w:r>
          </w:p>
        </w:tc>
        <w:tc>
          <w:tcPr>
            <w:tcW w:type="dxa" w:w="3456"/>
            <w:vAlign w:val="center"/>
            <w:tcMar>
              <w:top w:w="90" w:type="dxa"/>
              <w:start w:w="100" w:type="dxa"/>
              <w:bottom w:w="90" w:type="dxa"/>
              <w:end w:w="100" w:type="dxa"/>
            </w:tcMar>
          </w:tcPr>
          <w:p>
            <w:pPr>
              <w:spacing w:after="0" w:line="240" w:lineRule="auto"/>
              <w:jc w:val="left"/>
            </w:pPr>
            <w:r>
              <w:rPr>
                <w:color w:val="232D37"/>
                <w:sz w:val="16"/>
              </w:rPr>
              <w:t>Immediate threat to life, business or property</w:t>
            </w:r>
          </w:p>
        </w:tc>
        <w:tc>
          <w:tcPr>
            <w:tcW w:type="dxa" w:w="4824"/>
            <w:vAlign w:val="center"/>
            <w:tcMar>
              <w:top w:w="90" w:type="dxa"/>
              <w:start w:w="100" w:type="dxa"/>
              <w:bottom w:w="90" w:type="dxa"/>
              <w:end w:w="100" w:type="dxa"/>
            </w:tcMar>
          </w:tcPr>
          <w:p>
            <w:pPr>
              <w:spacing w:after="0" w:line="240" w:lineRule="auto"/>
              <w:jc w:val="left"/>
            </w:pPr>
            <w:r>
              <w:rPr>
                <w:color w:val="232D37"/>
                <w:sz w:val="16"/>
              </w:rPr>
              <w:t>Fire, flooding, major power loss or structural risk</w:t>
            </w:r>
          </w:p>
        </w:tc>
      </w:tr>
    </w:tbl>
    <w:p>
      <w:pPr>
        <w:spacing w:after="40"/>
      </w:pPr>
    </w:p>
    <w:p>
      <w:pPr>
        <w:pStyle w:val="Heading2"/>
        <w:keepNext/>
      </w:pPr>
      <w:r>
        <w:t>9.2 Priority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6"/>
              </w:rPr>
              <w:t>Priority</w:t>
            </w:r>
          </w:p>
        </w:tc>
        <w:tc>
          <w:tcPr>
            <w:tcW w:type="dxa" w:w="5400"/>
            <w:shd w:fill="17365D"/>
            <w:vAlign w:val="center"/>
            <w:tcMar>
              <w:top w:w="90" w:type="dxa"/>
              <w:start w:w="100" w:type="dxa"/>
              <w:bottom w:w="90" w:type="dxa"/>
              <w:end w:w="100" w:type="dxa"/>
            </w:tcMar>
          </w:tcPr>
          <w:p>
            <w:pPr>
              <w:jc w:val="center"/>
            </w:pPr>
            <w:r>
              <w:rPr>
                <w:b/>
                <w:color w:val="FFFFFF"/>
                <w:sz w:val="16"/>
              </w:rPr>
              <w:t>Definition</w:t>
            </w:r>
          </w:p>
        </w:tc>
        <w:tc>
          <w:tcPr>
            <w:tcW w:type="dxa" w:w="3024"/>
            <w:shd w:fill="17365D"/>
            <w:vAlign w:val="center"/>
            <w:tcMar>
              <w:top w:w="90" w:type="dxa"/>
              <w:start w:w="100" w:type="dxa"/>
              <w:bottom w:w="90" w:type="dxa"/>
              <w:end w:w="100" w:type="dxa"/>
            </w:tcMar>
          </w:tcPr>
          <w:p>
            <w:pPr>
              <w:jc w:val="center"/>
            </w:pPr>
            <w:r>
              <w:rPr>
                <w:b/>
                <w:color w:val="FFFFFF"/>
                <w:sz w:val="16"/>
              </w:rPr>
              <w:t>Illustrative target</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P1 Critical</w:t>
            </w:r>
          </w:p>
        </w:tc>
        <w:tc>
          <w:tcPr>
            <w:tcW w:type="dxa" w:w="5400"/>
            <w:vAlign w:val="center"/>
            <w:tcMar>
              <w:top w:w="90" w:type="dxa"/>
              <w:start w:w="100" w:type="dxa"/>
              <w:bottom w:w="90" w:type="dxa"/>
              <w:end w:w="100" w:type="dxa"/>
            </w:tcMar>
          </w:tcPr>
          <w:p>
            <w:pPr>
              <w:spacing w:after="0" w:line="240" w:lineRule="auto"/>
              <w:jc w:val="left"/>
            </w:pPr>
            <w:r>
              <w:rPr>
                <w:color w:val="232D37"/>
                <w:sz w:val="16"/>
              </w:rPr>
              <w:t>Life safety, major business outage, critical site unavailable or severe security risk</w:t>
            </w:r>
          </w:p>
        </w:tc>
        <w:tc>
          <w:tcPr>
            <w:tcW w:type="dxa" w:w="3024"/>
            <w:vAlign w:val="center"/>
            <w:tcMar>
              <w:top w:w="90" w:type="dxa"/>
              <w:start w:w="100" w:type="dxa"/>
              <w:bottom w:w="90" w:type="dxa"/>
              <w:end w:w="100" w:type="dxa"/>
            </w:tcMar>
          </w:tcPr>
          <w:p>
            <w:pPr>
              <w:spacing w:after="0" w:line="240" w:lineRule="auto"/>
              <w:jc w:val="left"/>
            </w:pPr>
            <w:r>
              <w:rPr>
                <w:color w:val="232D37"/>
                <w:sz w:val="16"/>
              </w:rPr>
              <w:t>Immediate acknowledgement; continuous restoration effort; executive escalation</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P2 High</w:t>
            </w:r>
          </w:p>
        </w:tc>
        <w:tc>
          <w:tcPr>
            <w:tcW w:type="dxa" w:w="5400"/>
            <w:vAlign w:val="center"/>
            <w:tcMar>
              <w:top w:w="90" w:type="dxa"/>
              <w:start w:w="100" w:type="dxa"/>
              <w:bottom w:w="90" w:type="dxa"/>
              <w:end w:w="100" w:type="dxa"/>
            </w:tcMar>
            <w:shd w:fill="F2F6FA"/>
          </w:tcPr>
          <w:p>
            <w:pPr>
              <w:spacing w:after="0" w:line="240" w:lineRule="auto"/>
              <w:jc w:val="left"/>
            </w:pPr>
            <w:r>
              <w:rPr>
                <w:color w:val="232D37"/>
                <w:sz w:val="16"/>
              </w:rPr>
              <w:t>Major degradation, important customer/employee impact or regulatory risk</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Rapid attendance and same-day restoration or workaround</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P3 Medium</w:t>
            </w:r>
          </w:p>
        </w:tc>
        <w:tc>
          <w:tcPr>
            <w:tcW w:type="dxa" w:w="5400"/>
            <w:vAlign w:val="center"/>
            <w:tcMar>
              <w:top w:w="90" w:type="dxa"/>
              <w:start w:w="100" w:type="dxa"/>
              <w:bottom w:w="90" w:type="dxa"/>
              <w:end w:w="100" w:type="dxa"/>
            </w:tcMar>
          </w:tcPr>
          <w:p>
            <w:pPr>
              <w:spacing w:after="0" w:line="240" w:lineRule="auto"/>
              <w:jc w:val="left"/>
            </w:pPr>
            <w:r>
              <w:rPr>
                <w:color w:val="232D37"/>
                <w:sz w:val="16"/>
              </w:rPr>
              <w:t>Limited impact with workaround; normal service request</w:t>
            </w:r>
          </w:p>
        </w:tc>
        <w:tc>
          <w:tcPr>
            <w:tcW w:type="dxa" w:w="3024"/>
            <w:vAlign w:val="center"/>
            <w:tcMar>
              <w:top w:w="90" w:type="dxa"/>
              <w:start w:w="100" w:type="dxa"/>
              <w:bottom w:w="90" w:type="dxa"/>
              <w:end w:w="100" w:type="dxa"/>
            </w:tcMar>
          </w:tcPr>
          <w:p>
            <w:pPr>
              <w:spacing w:after="0" w:line="240" w:lineRule="auto"/>
              <w:jc w:val="left"/>
            </w:pPr>
            <w:r>
              <w:rPr>
                <w:color w:val="232D37"/>
                <w:sz w:val="16"/>
              </w:rPr>
              <w:t>Standard SLA based on catalogue and operating hours</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P4 Low / planned</w:t>
            </w:r>
          </w:p>
        </w:tc>
        <w:tc>
          <w:tcPr>
            <w:tcW w:type="dxa" w:w="5400"/>
            <w:vAlign w:val="center"/>
            <w:tcMar>
              <w:top w:w="90" w:type="dxa"/>
              <w:start w:w="100" w:type="dxa"/>
              <w:bottom w:w="90" w:type="dxa"/>
              <w:end w:w="100" w:type="dxa"/>
            </w:tcMar>
            <w:shd w:fill="F2F6FA"/>
          </w:tcPr>
          <w:p>
            <w:pPr>
              <w:spacing w:after="0" w:line="240" w:lineRule="auto"/>
              <w:jc w:val="left"/>
            </w:pPr>
            <w:r>
              <w:rPr>
                <w:color w:val="232D37"/>
                <w:sz w:val="16"/>
              </w:rPr>
              <w:t>Cosmetic, improvement or schedulable work</w:t>
            </w:r>
          </w:p>
        </w:tc>
        <w:tc>
          <w:tcPr>
            <w:tcW w:type="dxa" w:w="3024"/>
            <w:vAlign w:val="center"/>
            <w:tcMar>
              <w:top w:w="90" w:type="dxa"/>
              <w:start w:w="100" w:type="dxa"/>
              <w:bottom w:w="90" w:type="dxa"/>
              <w:end w:w="100" w:type="dxa"/>
            </w:tcMar>
            <w:shd w:fill="F2F6FA"/>
          </w:tcPr>
          <w:p>
            <w:pPr>
              <w:spacing w:after="0" w:line="240" w:lineRule="auto"/>
              <w:jc w:val="left"/>
            </w:pPr>
            <w:r>
              <w:rPr>
                <w:color w:val="232D37"/>
                <w:sz w:val="16"/>
              </w:rPr>
              <w:t>Planned queue and agreed completion date</w:t>
            </w:r>
          </w:p>
        </w:tc>
      </w:tr>
    </w:tbl>
    <w:p>
      <w:pPr>
        <w:spacing w:after="40"/>
      </w:pPr>
    </w:p>
    <w:p>
      <w:pPr>
        <w:pStyle w:val="Heading2"/>
        <w:keepNext/>
      </w:pPr>
      <w:r>
        <w:t>9.3 End-to-end ticket/work-order workflow</w:t>
      </w:r>
    </w:p>
    <w:p>
      <w:pPr>
        <w:pStyle w:val="ListNumber"/>
      </w:pPr>
      <w:r>
        <w:t>Capture request through email, portal, mobile, chatbot, sensor, phone or system integration.</w:t>
      </w:r>
    </w:p>
    <w:p>
      <w:pPr>
        <w:pStyle w:val="ListNumber"/>
      </w:pPr>
      <w:r>
        <w:t>Identify requester and map employee, location, department, entitlement and preferred communication.</w:t>
      </w:r>
    </w:p>
    <w:p>
      <w:pPr>
        <w:pStyle w:val="ListNumber"/>
      </w:pPr>
      <w:r>
        <w:t>Classify service, issue, asset and priority; detect duplicates and known outages.</w:t>
      </w:r>
    </w:p>
    <w:p>
      <w:pPr>
        <w:pStyle w:val="ListNumber"/>
      </w:pPr>
      <w:r>
        <w:t>If information is missing, ask all required questions in one consolidated communication where practical.</w:t>
      </w:r>
    </w:p>
    <w:p>
      <w:pPr>
        <w:pStyle w:val="ListNumber"/>
      </w:pPr>
      <w:r>
        <w:t>Check self-service knowledge, warranty/AMC coverage, stock availability, budget and approval need.</w:t>
      </w:r>
    </w:p>
    <w:p>
      <w:pPr>
        <w:pStyle w:val="ListNumber"/>
      </w:pPr>
      <w:r>
        <w:t>Assign internal team/vendor using skill, site coverage, shift, workload and escalation rules.</w:t>
      </w:r>
    </w:p>
    <w:p>
      <w:pPr>
        <w:pStyle w:val="ListNumber"/>
      </w:pPr>
      <w:r>
        <w:t>Acknowledge with case number, interpreted requirement, SLA, required approvals and next step.</w:t>
      </w:r>
    </w:p>
    <w:p>
      <w:pPr>
        <w:pStyle w:val="ListNumber"/>
      </w:pPr>
      <w:r>
        <w:t>Dispatch technician/fulfiller; capture travel, attendance, safety permit, diagnosis, parts and labour.</w:t>
      </w:r>
    </w:p>
    <w:p>
      <w:pPr>
        <w:pStyle w:val="ListNumber"/>
      </w:pPr>
      <w:r>
        <w:t>Escalate based on risk and SLA thresholds; notify impacted users during major incidents.</w:t>
      </w:r>
    </w:p>
    <w:p>
      <w:pPr>
        <w:pStyle w:val="ListNumber"/>
      </w:pPr>
      <w:r>
        <w:t>Validate restoration/fulfilment, evidence, cost, asset updates, user acceptance and root-cause need.</w:t>
      </w:r>
    </w:p>
    <w:p>
      <w:pPr>
        <w:pStyle w:val="ListNumber"/>
      </w:pPr>
      <w:r>
        <w:t>Close with resolution summary, charges, preventive action and feedback option; allow controlled reopening.</w:t>
      </w:r>
    </w:p>
    <w:p>
      <w:pPr>
        <w:pStyle w:val="Heading2"/>
        <w:keepNext/>
      </w:pPr>
      <w:r>
        <w:t>9.4 Project and branch lifecycle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Stage</w:t>
            </w:r>
          </w:p>
        </w:tc>
        <w:tc>
          <w:tcPr>
            <w:tcW w:type="dxa" w:w="8280"/>
            <w:shd w:fill="17365D"/>
            <w:vAlign w:val="center"/>
            <w:tcMar>
              <w:top w:w="90" w:type="dxa"/>
              <w:start w:w="100" w:type="dxa"/>
              <w:bottom w:w="90" w:type="dxa"/>
              <w:end w:w="100" w:type="dxa"/>
            </w:tcMar>
          </w:tcPr>
          <w:p>
            <w:pPr>
              <w:jc w:val="center"/>
            </w:pPr>
            <w:r>
              <w:rPr>
                <w:b/>
                <w:color w:val="FFFFFF"/>
                <w:sz w:val="16"/>
              </w:rPr>
              <w:t>Core controls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Business case</w:t>
            </w:r>
          </w:p>
        </w:tc>
        <w:tc>
          <w:tcPr>
            <w:tcW w:type="dxa" w:w="8280"/>
            <w:vAlign w:val="center"/>
            <w:tcMar>
              <w:top w:w="90" w:type="dxa"/>
              <w:start w:w="100" w:type="dxa"/>
              <w:bottom w:w="90" w:type="dxa"/>
              <w:end w:w="100" w:type="dxa"/>
            </w:tcMar>
          </w:tcPr>
          <w:p>
            <w:pPr>
              <w:spacing w:after="0" w:line="240" w:lineRule="auto"/>
              <w:jc w:val="left"/>
            </w:pPr>
            <w:r>
              <w:rPr>
                <w:color w:val="232D37"/>
                <w:sz w:val="16"/>
              </w:rPr>
              <w:t>Demand, location strategy, capacity, options, financial model, risk and approval</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Site selection</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Technical due diligence, accessibility, utilities, security, legal and commercial comparison</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Design</w:t>
            </w:r>
          </w:p>
        </w:tc>
        <w:tc>
          <w:tcPr>
            <w:tcW w:type="dxa" w:w="8280"/>
            <w:vAlign w:val="center"/>
            <w:tcMar>
              <w:top w:w="90" w:type="dxa"/>
              <w:start w:w="100" w:type="dxa"/>
              <w:bottom w:w="90" w:type="dxa"/>
              <w:end w:w="100" w:type="dxa"/>
            </w:tcMar>
          </w:tcPr>
          <w:p>
            <w:pPr>
              <w:spacing w:after="0" w:line="240" w:lineRule="auto"/>
              <w:jc w:val="left"/>
            </w:pPr>
            <w:r>
              <w:rPr>
                <w:color w:val="232D37"/>
                <w:sz w:val="16"/>
              </w:rPr>
              <w:t>Standards, drawings, BOQ, value engineering, energy, safety, technology and approvals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Procurement</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Tender, bid evaluation, contractor onboarding, schedule and contract</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Execution</w:t>
            </w:r>
          </w:p>
        </w:tc>
        <w:tc>
          <w:tcPr>
            <w:tcW w:type="dxa" w:w="8280"/>
            <w:vAlign w:val="center"/>
            <w:tcMar>
              <w:top w:w="90" w:type="dxa"/>
              <w:start w:w="100" w:type="dxa"/>
              <w:bottom w:w="90" w:type="dxa"/>
              <w:end w:w="100" w:type="dxa"/>
            </w:tcMar>
          </w:tcPr>
          <w:p>
            <w:pPr>
              <w:spacing w:after="0" w:line="240" w:lineRule="auto"/>
              <w:jc w:val="left"/>
            </w:pPr>
            <w:r>
              <w:rPr>
                <w:color w:val="232D37"/>
                <w:sz w:val="16"/>
              </w:rPr>
              <w:t>Mobilisation, permits, daily progress, quality, safety, change orders and payments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Commissioning</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Testing, snagging, training, as-built drawings, asset tags and statutory approvals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Handover/opening</w:t>
            </w:r>
          </w:p>
        </w:tc>
        <w:tc>
          <w:tcPr>
            <w:tcW w:type="dxa" w:w="8280"/>
            <w:vAlign w:val="center"/>
            <w:tcMar>
              <w:top w:w="90" w:type="dxa"/>
              <w:start w:w="100" w:type="dxa"/>
              <w:bottom w:w="90" w:type="dxa"/>
              <w:end w:w="100" w:type="dxa"/>
            </w:tcMar>
          </w:tcPr>
          <w:p>
            <w:pPr>
              <w:spacing w:after="0" w:line="240" w:lineRule="auto"/>
              <w:jc w:val="left"/>
            </w:pPr>
            <w:r>
              <w:rPr>
                <w:color w:val="232D37"/>
                <w:sz w:val="16"/>
              </w:rPr>
              <w:t>Readiness checklist, service contracts, stock, emergency plan and occupancy approval</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Operate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Maintenance, service performance, cost, compliance and experience</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Renovate/relocate</w:t>
            </w:r>
          </w:p>
        </w:tc>
        <w:tc>
          <w:tcPr>
            <w:tcW w:type="dxa" w:w="8280"/>
            <w:vAlign w:val="center"/>
            <w:tcMar>
              <w:top w:w="90" w:type="dxa"/>
              <w:start w:w="100" w:type="dxa"/>
              <w:bottom w:w="90" w:type="dxa"/>
              <w:end w:w="100" w:type="dxa"/>
            </w:tcMar>
          </w:tcPr>
          <w:p>
            <w:pPr>
              <w:spacing w:after="0" w:line="240" w:lineRule="auto"/>
              <w:jc w:val="left"/>
            </w:pPr>
            <w:r>
              <w:rPr>
                <w:color w:val="232D37"/>
                <w:sz w:val="16"/>
              </w:rPr>
              <w:t>Condition, business continuity, asset movement and communication</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Closure/exit</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Notices, decommissioning, data/security clearance, asset disposal/transfer, restoration and deposit recovery</w:t>
            </w:r>
          </w:p>
        </w:tc>
      </w:tr>
    </w:tbl>
    <w:p>
      <w:pPr>
        <w:spacing w:after="40"/>
      </w:pPr>
    </w:p>
    <w:p>
      <w:pPr>
        <w:pStyle w:val="Heading1"/>
        <w:keepNext/>
      </w:pPr>
      <w:r>
        <w:t>10. Governance, Compliance, Risk, Resilience and ESG</w:t>
      </w:r>
    </w:p>
    <w:p>
      <w:pPr>
        <w:pStyle w:val="Heading2"/>
        <w:keepNext/>
      </w:pPr>
      <w:r>
        <w:t>10.1 Governance forums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20"/>
            <w:shd w:fill="17365D"/>
            <w:vAlign w:val="center"/>
            <w:tcMar>
              <w:top w:w="90" w:type="dxa"/>
              <w:start w:w="100" w:type="dxa"/>
              <w:bottom w:w="90" w:type="dxa"/>
              <w:end w:w="100" w:type="dxa"/>
            </w:tcMar>
          </w:tcPr>
          <w:p>
            <w:pPr>
              <w:jc w:val="center"/>
            </w:pPr>
            <w:r>
              <w:rPr>
                <w:b/>
                <w:color w:val="FFFFFF"/>
                <w:sz w:val="16"/>
              </w:rPr>
              <w:t>Forum</w:t>
            </w:r>
          </w:p>
        </w:tc>
        <w:tc>
          <w:tcPr>
            <w:tcW w:type="dxa" w:w="1584"/>
            <w:shd w:fill="17365D"/>
            <w:vAlign w:val="center"/>
            <w:tcMar>
              <w:top w:w="90" w:type="dxa"/>
              <w:start w:w="100" w:type="dxa"/>
              <w:bottom w:w="90" w:type="dxa"/>
              <w:end w:w="100" w:type="dxa"/>
            </w:tcMar>
          </w:tcPr>
          <w:p>
            <w:pPr>
              <w:jc w:val="center"/>
            </w:pPr>
            <w:r>
              <w:rPr>
                <w:b/>
                <w:color w:val="FFFFFF"/>
                <w:sz w:val="16"/>
              </w:rPr>
              <w:t>Cadence</w:t>
            </w:r>
          </w:p>
        </w:tc>
        <w:tc>
          <w:tcPr>
            <w:tcW w:type="dxa" w:w="6264"/>
            <w:shd w:fill="17365D"/>
            <w:vAlign w:val="center"/>
            <w:tcMar>
              <w:top w:w="90" w:type="dxa"/>
              <w:start w:w="100" w:type="dxa"/>
              <w:bottom w:w="90" w:type="dxa"/>
              <w:end w:w="100" w:type="dxa"/>
            </w:tcMar>
          </w:tcPr>
          <w:p>
            <w:pPr>
              <w:jc w:val="center"/>
            </w:pPr>
            <w:r>
              <w:rPr>
                <w:b/>
                <w:color w:val="FFFFFF"/>
                <w:sz w:val="16"/>
              </w:rPr>
              <w:t>Scope</w:t>
            </w:r>
          </w:p>
        </w:tc>
      </w:tr>
      <w:tr>
        <w:tc>
          <w:tcPr>
            <w:tcW w:type="dxa" w:w="2520"/>
            <w:vAlign w:val="center"/>
            <w:tcMar>
              <w:top w:w="90" w:type="dxa"/>
              <w:start w:w="100" w:type="dxa"/>
              <w:bottom w:w="90" w:type="dxa"/>
              <w:end w:w="100" w:type="dxa"/>
            </w:tcMar>
          </w:tcPr>
          <w:p>
            <w:pPr>
              <w:spacing w:after="0" w:line="240" w:lineRule="auto"/>
              <w:jc w:val="center"/>
            </w:pPr>
            <w:r>
              <w:rPr>
                <w:color w:val="232D37"/>
                <w:sz w:val="16"/>
              </w:rPr>
              <w:t>Enterprise facilities council</w:t>
            </w:r>
          </w:p>
        </w:tc>
        <w:tc>
          <w:tcPr>
            <w:tcW w:type="dxa" w:w="1584"/>
            <w:vAlign w:val="center"/>
            <w:tcMar>
              <w:top w:w="90" w:type="dxa"/>
              <w:start w:w="100" w:type="dxa"/>
              <w:bottom w:w="90" w:type="dxa"/>
              <w:end w:w="100" w:type="dxa"/>
            </w:tcMar>
          </w:tcPr>
          <w:p>
            <w:pPr>
              <w:spacing w:after="0" w:line="240" w:lineRule="auto"/>
              <w:jc w:val="center"/>
            </w:pPr>
            <w:r>
              <w:rPr>
                <w:color w:val="232D37"/>
                <w:sz w:val="16"/>
              </w:rPr>
              <w:t>Quarterly</w:t>
            </w:r>
          </w:p>
        </w:tc>
        <w:tc>
          <w:tcPr>
            <w:tcW w:type="dxa" w:w="6264"/>
            <w:vAlign w:val="center"/>
            <w:tcMar>
              <w:top w:w="90" w:type="dxa"/>
              <w:start w:w="100" w:type="dxa"/>
              <w:bottom w:w="90" w:type="dxa"/>
              <w:end w:w="100" w:type="dxa"/>
            </w:tcMar>
          </w:tcPr>
          <w:p>
            <w:pPr>
              <w:spacing w:after="0" w:line="240" w:lineRule="auto"/>
              <w:jc w:val="left"/>
            </w:pPr>
            <w:r>
              <w:rPr>
                <w:color w:val="232D37"/>
                <w:sz w:val="16"/>
              </w:rPr>
              <w:t>Strategy, standards, portfolio, major risks, budget and investment</w:t>
            </w:r>
          </w:p>
        </w:tc>
      </w:tr>
      <w:tr>
        <w:tc>
          <w:tcPr>
            <w:tcW w:type="dxa" w:w="2520"/>
            <w:vAlign w:val="center"/>
            <w:tcMar>
              <w:top w:w="90" w:type="dxa"/>
              <w:start w:w="100" w:type="dxa"/>
              <w:bottom w:w="90" w:type="dxa"/>
              <w:end w:w="100" w:type="dxa"/>
            </w:tcMar>
            <w:shd w:fill="F2F6FA"/>
          </w:tcPr>
          <w:p>
            <w:pPr>
              <w:spacing w:after="0" w:line="240" w:lineRule="auto"/>
              <w:jc w:val="center"/>
            </w:pPr>
            <w:r>
              <w:rPr>
                <w:color w:val="232D37"/>
                <w:sz w:val="16"/>
              </w:rPr>
              <w:t>Service performance review</w:t>
            </w:r>
          </w:p>
        </w:tc>
        <w:tc>
          <w:tcPr>
            <w:tcW w:type="dxa" w:w="1584"/>
            <w:vAlign w:val="center"/>
            <w:tcMar>
              <w:top w:w="90" w:type="dxa"/>
              <w:start w:w="100" w:type="dxa"/>
              <w:bottom w:w="90" w:type="dxa"/>
              <w:end w:w="100" w:type="dxa"/>
            </w:tcMar>
            <w:shd w:fill="F2F6FA"/>
          </w:tcPr>
          <w:p>
            <w:pPr>
              <w:spacing w:after="0" w:line="240" w:lineRule="auto"/>
              <w:jc w:val="center"/>
            </w:pPr>
            <w:r>
              <w:rPr>
                <w:color w:val="232D37"/>
                <w:sz w:val="16"/>
              </w:rPr>
              <w:t>Monthly</w:t>
            </w:r>
          </w:p>
        </w:tc>
        <w:tc>
          <w:tcPr>
            <w:tcW w:type="dxa" w:w="6264"/>
            <w:vAlign w:val="center"/>
            <w:tcMar>
              <w:top w:w="90" w:type="dxa"/>
              <w:start w:w="100" w:type="dxa"/>
              <w:bottom w:w="90" w:type="dxa"/>
              <w:end w:w="100" w:type="dxa"/>
            </w:tcMar>
            <w:shd w:fill="F2F6FA"/>
          </w:tcPr>
          <w:p>
            <w:pPr>
              <w:spacing w:after="0" w:line="240" w:lineRule="auto"/>
              <w:jc w:val="left"/>
            </w:pPr>
            <w:r>
              <w:rPr>
                <w:color w:val="232D37"/>
                <w:sz w:val="16"/>
              </w:rPr>
              <w:t>SLA, vendor scorecards, incidents, spend, savings and experience</w:t>
            </w:r>
          </w:p>
        </w:tc>
      </w:tr>
      <w:tr>
        <w:tc>
          <w:tcPr>
            <w:tcW w:type="dxa" w:w="2520"/>
            <w:vAlign w:val="center"/>
            <w:tcMar>
              <w:top w:w="90" w:type="dxa"/>
              <w:start w:w="100" w:type="dxa"/>
              <w:bottom w:w="90" w:type="dxa"/>
              <w:end w:w="100" w:type="dxa"/>
            </w:tcMar>
          </w:tcPr>
          <w:p>
            <w:pPr>
              <w:spacing w:after="0" w:line="240" w:lineRule="auto"/>
              <w:jc w:val="center"/>
            </w:pPr>
            <w:r>
              <w:rPr>
                <w:color w:val="232D37"/>
                <w:sz w:val="16"/>
              </w:rPr>
              <w:t>Regional operations review</w:t>
            </w:r>
          </w:p>
        </w:tc>
        <w:tc>
          <w:tcPr>
            <w:tcW w:type="dxa" w:w="1584"/>
            <w:vAlign w:val="center"/>
            <w:tcMar>
              <w:top w:w="90" w:type="dxa"/>
              <w:start w:w="100" w:type="dxa"/>
              <w:bottom w:w="90" w:type="dxa"/>
              <w:end w:w="100" w:type="dxa"/>
            </w:tcMar>
          </w:tcPr>
          <w:p>
            <w:pPr>
              <w:spacing w:after="0" w:line="240" w:lineRule="auto"/>
              <w:jc w:val="center"/>
            </w:pPr>
            <w:r>
              <w:rPr>
                <w:color w:val="232D37"/>
                <w:sz w:val="16"/>
              </w:rPr>
              <w:t>Weekly/monthly</w:t>
            </w:r>
          </w:p>
        </w:tc>
        <w:tc>
          <w:tcPr>
            <w:tcW w:type="dxa" w:w="6264"/>
            <w:vAlign w:val="center"/>
            <w:tcMar>
              <w:top w:w="90" w:type="dxa"/>
              <w:start w:w="100" w:type="dxa"/>
              <w:bottom w:w="90" w:type="dxa"/>
              <w:end w:w="100" w:type="dxa"/>
            </w:tcMar>
          </w:tcPr>
          <w:p>
            <w:pPr>
              <w:spacing w:after="0" w:line="240" w:lineRule="auto"/>
              <w:jc w:val="left"/>
            </w:pPr>
            <w:r>
              <w:rPr>
                <w:color w:val="232D37"/>
                <w:sz w:val="16"/>
              </w:rPr>
              <w:t>Open cases, PM, compliance, stock, invoices and projects</w:t>
            </w:r>
          </w:p>
        </w:tc>
      </w:tr>
      <w:tr>
        <w:tc>
          <w:tcPr>
            <w:tcW w:type="dxa" w:w="2520"/>
            <w:vAlign w:val="center"/>
            <w:tcMar>
              <w:top w:w="90" w:type="dxa"/>
              <w:start w:w="100" w:type="dxa"/>
              <w:bottom w:w="90" w:type="dxa"/>
              <w:end w:w="100" w:type="dxa"/>
            </w:tcMar>
            <w:shd w:fill="F2F6FA"/>
          </w:tcPr>
          <w:p>
            <w:pPr>
              <w:spacing w:after="0" w:line="240" w:lineRule="auto"/>
              <w:jc w:val="center"/>
            </w:pPr>
            <w:r>
              <w:rPr>
                <w:color w:val="232D37"/>
                <w:sz w:val="16"/>
              </w:rPr>
              <w:t>Critical-site review</w:t>
            </w:r>
          </w:p>
        </w:tc>
        <w:tc>
          <w:tcPr>
            <w:tcW w:type="dxa" w:w="1584"/>
            <w:vAlign w:val="center"/>
            <w:tcMar>
              <w:top w:w="90" w:type="dxa"/>
              <w:start w:w="100" w:type="dxa"/>
              <w:bottom w:w="90" w:type="dxa"/>
              <w:end w:w="100" w:type="dxa"/>
            </w:tcMar>
            <w:shd w:fill="F2F6FA"/>
          </w:tcPr>
          <w:p>
            <w:pPr>
              <w:spacing w:after="0" w:line="240" w:lineRule="auto"/>
              <w:jc w:val="center"/>
            </w:pPr>
            <w:r>
              <w:rPr>
                <w:color w:val="232D37"/>
                <w:sz w:val="16"/>
              </w:rPr>
              <w:t>Daily/weekly</w:t>
            </w:r>
          </w:p>
        </w:tc>
        <w:tc>
          <w:tcPr>
            <w:tcW w:type="dxa" w:w="6264"/>
            <w:vAlign w:val="center"/>
            <w:tcMar>
              <w:top w:w="90" w:type="dxa"/>
              <w:start w:w="100" w:type="dxa"/>
              <w:bottom w:w="90" w:type="dxa"/>
              <w:end w:w="100" w:type="dxa"/>
            </w:tcMar>
            <w:shd w:fill="F2F6FA"/>
          </w:tcPr>
          <w:p>
            <w:pPr>
              <w:spacing w:after="0" w:line="240" w:lineRule="auto"/>
              <w:jc w:val="left"/>
            </w:pPr>
            <w:r>
              <w:rPr>
                <w:color w:val="232D37"/>
                <w:sz w:val="16"/>
              </w:rPr>
              <w:t>Alarms, uptime, capacity, changes, incidents and resilience</w:t>
            </w:r>
          </w:p>
        </w:tc>
      </w:tr>
      <w:tr>
        <w:tc>
          <w:tcPr>
            <w:tcW w:type="dxa" w:w="2520"/>
            <w:vAlign w:val="center"/>
            <w:tcMar>
              <w:top w:w="90" w:type="dxa"/>
              <w:start w:w="100" w:type="dxa"/>
              <w:bottom w:w="90" w:type="dxa"/>
              <w:end w:w="100" w:type="dxa"/>
            </w:tcMar>
          </w:tcPr>
          <w:p>
            <w:pPr>
              <w:spacing w:after="0" w:line="240" w:lineRule="auto"/>
              <w:jc w:val="center"/>
            </w:pPr>
            <w:r>
              <w:rPr>
                <w:color w:val="232D37"/>
                <w:sz w:val="16"/>
              </w:rPr>
              <w:t>Contract governance</w:t>
            </w:r>
          </w:p>
        </w:tc>
        <w:tc>
          <w:tcPr>
            <w:tcW w:type="dxa" w:w="1584"/>
            <w:vAlign w:val="center"/>
            <w:tcMar>
              <w:top w:w="90" w:type="dxa"/>
              <w:start w:w="100" w:type="dxa"/>
              <w:bottom w:w="90" w:type="dxa"/>
              <w:end w:w="100" w:type="dxa"/>
            </w:tcMar>
          </w:tcPr>
          <w:p>
            <w:pPr>
              <w:spacing w:after="0" w:line="240" w:lineRule="auto"/>
              <w:jc w:val="center"/>
            </w:pPr>
            <w:r>
              <w:rPr>
                <w:color w:val="232D37"/>
                <w:sz w:val="16"/>
              </w:rPr>
              <w:t>Monthly/quarterly</w:t>
            </w:r>
          </w:p>
        </w:tc>
        <w:tc>
          <w:tcPr>
            <w:tcW w:type="dxa" w:w="6264"/>
            <w:vAlign w:val="center"/>
            <w:tcMar>
              <w:top w:w="90" w:type="dxa"/>
              <w:start w:w="100" w:type="dxa"/>
              <w:bottom w:w="90" w:type="dxa"/>
              <w:end w:w="100" w:type="dxa"/>
            </w:tcMar>
          </w:tcPr>
          <w:p>
            <w:pPr>
              <w:spacing w:after="0" w:line="240" w:lineRule="auto"/>
              <w:jc w:val="left"/>
            </w:pPr>
            <w:r>
              <w:rPr>
                <w:color w:val="232D37"/>
                <w:sz w:val="16"/>
              </w:rPr>
              <w:t>Obligations, commercial leakage, penalties, risks and renewal</w:t>
            </w:r>
          </w:p>
        </w:tc>
      </w:tr>
      <w:tr>
        <w:tc>
          <w:tcPr>
            <w:tcW w:type="dxa" w:w="2520"/>
            <w:vAlign w:val="center"/>
            <w:tcMar>
              <w:top w:w="90" w:type="dxa"/>
              <w:start w:w="100" w:type="dxa"/>
              <w:bottom w:w="90" w:type="dxa"/>
              <w:end w:w="100" w:type="dxa"/>
            </w:tcMar>
            <w:shd w:fill="F2F6FA"/>
          </w:tcPr>
          <w:p>
            <w:pPr>
              <w:spacing w:after="0" w:line="240" w:lineRule="auto"/>
              <w:jc w:val="center"/>
            </w:pPr>
            <w:r>
              <w:rPr>
                <w:color w:val="232D37"/>
                <w:sz w:val="16"/>
              </w:rPr>
              <w:t>Safety and compliance committee</w:t>
            </w:r>
          </w:p>
        </w:tc>
        <w:tc>
          <w:tcPr>
            <w:tcW w:type="dxa" w:w="1584"/>
            <w:vAlign w:val="center"/>
            <w:tcMar>
              <w:top w:w="90" w:type="dxa"/>
              <w:start w:w="100" w:type="dxa"/>
              <w:bottom w:w="90" w:type="dxa"/>
              <w:end w:w="100" w:type="dxa"/>
            </w:tcMar>
            <w:shd w:fill="F2F6FA"/>
          </w:tcPr>
          <w:p>
            <w:pPr>
              <w:spacing w:after="0" w:line="240" w:lineRule="auto"/>
              <w:jc w:val="center"/>
            </w:pPr>
            <w:r>
              <w:rPr>
                <w:color w:val="232D37"/>
                <w:sz w:val="16"/>
              </w:rPr>
              <w:t>Monthly</w:t>
            </w:r>
          </w:p>
        </w:tc>
        <w:tc>
          <w:tcPr>
            <w:tcW w:type="dxa" w:w="6264"/>
            <w:vAlign w:val="center"/>
            <w:tcMar>
              <w:top w:w="90" w:type="dxa"/>
              <w:start w:w="100" w:type="dxa"/>
              <w:bottom w:w="90" w:type="dxa"/>
              <w:end w:w="100" w:type="dxa"/>
            </w:tcMar>
            <w:shd w:fill="F2F6FA"/>
          </w:tcPr>
          <w:p>
            <w:pPr>
              <w:spacing w:after="0" w:line="240" w:lineRule="auto"/>
              <w:jc w:val="left"/>
            </w:pPr>
            <w:r>
              <w:rPr>
                <w:color w:val="232D37"/>
                <w:sz w:val="16"/>
              </w:rPr>
              <w:t>Incidents, drills, inspections, licences and corrective actions</w:t>
            </w:r>
          </w:p>
        </w:tc>
      </w:tr>
      <w:tr>
        <w:tc>
          <w:tcPr>
            <w:tcW w:type="dxa" w:w="2520"/>
            <w:vAlign w:val="center"/>
            <w:tcMar>
              <w:top w:w="90" w:type="dxa"/>
              <w:start w:w="100" w:type="dxa"/>
              <w:bottom w:w="90" w:type="dxa"/>
              <w:end w:w="100" w:type="dxa"/>
            </w:tcMar>
          </w:tcPr>
          <w:p>
            <w:pPr>
              <w:spacing w:after="0" w:line="240" w:lineRule="auto"/>
              <w:jc w:val="center"/>
            </w:pPr>
            <w:r>
              <w:rPr>
                <w:color w:val="232D37"/>
                <w:sz w:val="16"/>
              </w:rPr>
              <w:t>Budget review</w:t>
            </w:r>
          </w:p>
        </w:tc>
        <w:tc>
          <w:tcPr>
            <w:tcW w:type="dxa" w:w="1584"/>
            <w:vAlign w:val="center"/>
            <w:tcMar>
              <w:top w:w="90" w:type="dxa"/>
              <w:start w:w="100" w:type="dxa"/>
              <w:bottom w:w="90" w:type="dxa"/>
              <w:end w:w="100" w:type="dxa"/>
            </w:tcMar>
          </w:tcPr>
          <w:p>
            <w:pPr>
              <w:spacing w:after="0" w:line="240" w:lineRule="auto"/>
              <w:jc w:val="center"/>
            </w:pPr>
            <w:r>
              <w:rPr>
                <w:color w:val="232D37"/>
                <w:sz w:val="16"/>
              </w:rPr>
              <w:t>Monthly</w:t>
            </w:r>
          </w:p>
        </w:tc>
        <w:tc>
          <w:tcPr>
            <w:tcW w:type="dxa" w:w="6264"/>
            <w:vAlign w:val="center"/>
            <w:tcMar>
              <w:top w:w="90" w:type="dxa"/>
              <w:start w:w="100" w:type="dxa"/>
              <w:bottom w:w="90" w:type="dxa"/>
              <w:end w:w="100" w:type="dxa"/>
            </w:tcMar>
          </w:tcPr>
          <w:p>
            <w:pPr>
              <w:spacing w:after="0" w:line="240" w:lineRule="auto"/>
              <w:jc w:val="left"/>
            </w:pPr>
            <w:r>
              <w:rPr>
                <w:color w:val="232D37"/>
                <w:sz w:val="16"/>
              </w:rPr>
              <w:t>Actual, commitment, accrual, forecast, variance and corrective action</w:t>
            </w:r>
          </w:p>
        </w:tc>
      </w:tr>
    </w:tbl>
    <w:p>
      <w:pPr>
        <w:spacing w:after="40"/>
      </w:pPr>
    </w:p>
    <w:p>
      <w:pPr>
        <w:pStyle w:val="Heading2"/>
        <w:keepNext/>
      </w:pPr>
      <w:r>
        <w:t>10.2 Compliance register</w:t>
      </w:r>
    </w:p>
    <w:p>
      <w:pPr>
        <w:pStyle w:val="ListBullet"/>
      </w:pPr>
      <w:r>
        <w:t>Requirement ID, law/standard/policy, jurisdiction, applicability rule, site/service/asset mapping.</w:t>
      </w:r>
    </w:p>
    <w:p>
      <w:pPr>
        <w:pStyle w:val="ListBullet"/>
      </w:pPr>
      <w:r>
        <w:t>Licence/certificate type, authority, number, issue date, expiry date and renewal lead time.</w:t>
      </w:r>
    </w:p>
    <w:p>
      <w:pPr>
        <w:pStyle w:val="ListBullet"/>
      </w:pPr>
      <w:r>
        <w:t>Responsible owner, reviewer, approver, service provider and escalation authority.</w:t>
      </w:r>
    </w:p>
    <w:p>
      <w:pPr>
        <w:pStyle w:val="ListBullet"/>
      </w:pPr>
      <w:r>
        <w:t>Evidence, inspection frequency, findings, corrective actions, closure proof and retention period.</w:t>
      </w:r>
    </w:p>
    <w:p>
      <w:pPr>
        <w:pStyle w:val="ListBullet"/>
      </w:pPr>
      <w:r>
        <w:t>Compliance status, risk rating, grace period, dependency and business restriction if overdue.</w:t>
      </w:r>
    </w:p>
    <w:p>
      <w:pPr>
        <w:pStyle w:val="Heading2"/>
        <w:keepNext/>
      </w:pPr>
      <w:r>
        <w:t>10.3 Risk register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7365D"/>
            <w:vAlign w:val="center"/>
            <w:tcMar>
              <w:top w:w="90" w:type="dxa"/>
              <w:start w:w="100" w:type="dxa"/>
              <w:bottom w:w="90" w:type="dxa"/>
              <w:end w:w="100" w:type="dxa"/>
            </w:tcMar>
          </w:tcPr>
          <w:p>
            <w:pPr>
              <w:jc w:val="center"/>
            </w:pPr>
            <w:r>
              <w:rPr>
                <w:b/>
                <w:color w:val="FFFFFF"/>
                <w:sz w:val="15"/>
              </w:rPr>
              <w:t>Risk family</w:t>
            </w:r>
          </w:p>
        </w:tc>
        <w:tc>
          <w:tcPr>
            <w:tcW w:type="dxa" w:w="3816"/>
            <w:shd w:fill="17365D"/>
            <w:vAlign w:val="center"/>
            <w:tcMar>
              <w:top w:w="90" w:type="dxa"/>
              <w:start w:w="100" w:type="dxa"/>
              <w:bottom w:w="90" w:type="dxa"/>
              <w:end w:w="100" w:type="dxa"/>
            </w:tcMar>
          </w:tcPr>
          <w:p>
            <w:pPr>
              <w:jc w:val="center"/>
            </w:pPr>
            <w:r>
              <w:rPr>
                <w:b/>
                <w:color w:val="FFFFFF"/>
                <w:sz w:val="15"/>
              </w:rPr>
              <w:t>Examples</w:t>
            </w:r>
          </w:p>
        </w:tc>
        <w:tc>
          <w:tcPr>
            <w:tcW w:type="dxa" w:w="4824"/>
            <w:shd w:fill="17365D"/>
            <w:vAlign w:val="center"/>
            <w:tcMar>
              <w:top w:w="90" w:type="dxa"/>
              <w:start w:w="100" w:type="dxa"/>
              <w:bottom w:w="90" w:type="dxa"/>
              <w:end w:w="100" w:type="dxa"/>
            </w:tcMar>
          </w:tcPr>
          <w:p>
            <w:pPr>
              <w:jc w:val="center"/>
            </w:pPr>
            <w:r>
              <w:rPr>
                <w:b/>
                <w:color w:val="FFFFFF"/>
                <w:sz w:val="15"/>
              </w:rPr>
              <w:t>Key controls</w:t>
            </w:r>
          </w:p>
        </w:tc>
      </w:tr>
      <w:tr>
        <w:tc>
          <w:tcPr>
            <w:tcW w:type="dxa" w:w="1728"/>
            <w:vAlign w:val="center"/>
            <w:tcMar>
              <w:top w:w="90" w:type="dxa"/>
              <w:start w:w="100" w:type="dxa"/>
              <w:bottom w:w="90" w:type="dxa"/>
              <w:end w:w="100" w:type="dxa"/>
            </w:tcMar>
          </w:tcPr>
          <w:p>
            <w:pPr>
              <w:spacing w:after="0" w:line="240" w:lineRule="auto"/>
              <w:jc w:val="center"/>
            </w:pPr>
            <w:r>
              <w:rPr>
                <w:color w:val="232D37"/>
                <w:sz w:val="15"/>
              </w:rPr>
              <w:t>Life safety</w:t>
            </w:r>
          </w:p>
        </w:tc>
        <w:tc>
          <w:tcPr>
            <w:tcW w:type="dxa" w:w="3816"/>
            <w:vAlign w:val="center"/>
            <w:tcMar>
              <w:top w:w="90" w:type="dxa"/>
              <w:start w:w="100" w:type="dxa"/>
              <w:bottom w:w="90" w:type="dxa"/>
              <w:end w:w="100" w:type="dxa"/>
            </w:tcMar>
          </w:tcPr>
          <w:p>
            <w:pPr>
              <w:spacing w:after="0" w:line="240" w:lineRule="auto"/>
              <w:jc w:val="left"/>
            </w:pPr>
            <w:r>
              <w:rPr>
                <w:color w:val="232D37"/>
                <w:sz w:val="15"/>
              </w:rPr>
              <w:t>Fire, structural, electrical shock, gas, lift entrapment</w:t>
            </w:r>
          </w:p>
        </w:tc>
        <w:tc>
          <w:tcPr>
            <w:tcW w:type="dxa" w:w="4824"/>
            <w:vAlign w:val="center"/>
            <w:tcMar>
              <w:top w:w="90" w:type="dxa"/>
              <w:start w:w="100" w:type="dxa"/>
              <w:bottom w:w="90" w:type="dxa"/>
              <w:end w:w="100" w:type="dxa"/>
            </w:tcMar>
          </w:tcPr>
          <w:p>
            <w:pPr>
              <w:spacing w:after="0" w:line="240" w:lineRule="auto"/>
              <w:jc w:val="left"/>
            </w:pPr>
            <w:r>
              <w:rPr>
                <w:color w:val="232D37"/>
                <w:sz w:val="15"/>
              </w:rPr>
              <w:t>Inspection, permits, drills, alarms, training and escalation</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Business continuity</w:t>
            </w:r>
          </w:p>
        </w:tc>
        <w:tc>
          <w:tcPr>
            <w:tcW w:type="dxa" w:w="3816"/>
            <w:vAlign w:val="center"/>
            <w:tcMar>
              <w:top w:w="90" w:type="dxa"/>
              <w:start w:w="100" w:type="dxa"/>
              <w:bottom w:w="90" w:type="dxa"/>
              <w:end w:w="100" w:type="dxa"/>
            </w:tcMar>
            <w:shd w:fill="F2F6FA"/>
          </w:tcPr>
          <w:p>
            <w:pPr>
              <w:spacing w:after="0" w:line="240" w:lineRule="auto"/>
              <w:jc w:val="left"/>
            </w:pPr>
            <w:r>
              <w:rPr>
                <w:color w:val="232D37"/>
                <w:sz w:val="15"/>
              </w:rPr>
              <w:t>Power, cooling, water, access, workspace outage</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5"/>
              </w:rPr>
              <w:t>Redundancy, spares, alternate site, vendor response and testing</w:t>
            </w:r>
          </w:p>
        </w:tc>
      </w:tr>
      <w:tr>
        <w:tc>
          <w:tcPr>
            <w:tcW w:type="dxa" w:w="1728"/>
            <w:vAlign w:val="center"/>
            <w:tcMar>
              <w:top w:w="90" w:type="dxa"/>
              <w:start w:w="100" w:type="dxa"/>
              <w:bottom w:w="90" w:type="dxa"/>
              <w:end w:w="100" w:type="dxa"/>
            </w:tcMar>
          </w:tcPr>
          <w:p>
            <w:pPr>
              <w:spacing w:after="0" w:line="240" w:lineRule="auto"/>
              <w:jc w:val="center"/>
            </w:pPr>
            <w:r>
              <w:rPr>
                <w:color w:val="232D37"/>
                <w:sz w:val="15"/>
              </w:rPr>
              <w:t>Security</w:t>
            </w:r>
          </w:p>
        </w:tc>
        <w:tc>
          <w:tcPr>
            <w:tcW w:type="dxa" w:w="3816"/>
            <w:vAlign w:val="center"/>
            <w:tcMar>
              <w:top w:w="90" w:type="dxa"/>
              <w:start w:w="100" w:type="dxa"/>
              <w:bottom w:w="90" w:type="dxa"/>
              <w:end w:w="100" w:type="dxa"/>
            </w:tcMar>
          </w:tcPr>
          <w:p>
            <w:pPr>
              <w:spacing w:after="0" w:line="240" w:lineRule="auto"/>
              <w:jc w:val="left"/>
            </w:pPr>
            <w:r>
              <w:rPr>
                <w:color w:val="232D37"/>
                <w:sz w:val="15"/>
              </w:rPr>
              <w:t>Unauthorised access, theft, sabotage, surveillance failure</w:t>
            </w:r>
          </w:p>
        </w:tc>
        <w:tc>
          <w:tcPr>
            <w:tcW w:type="dxa" w:w="4824"/>
            <w:vAlign w:val="center"/>
            <w:tcMar>
              <w:top w:w="90" w:type="dxa"/>
              <w:start w:w="100" w:type="dxa"/>
              <w:bottom w:w="90" w:type="dxa"/>
              <w:end w:w="100" w:type="dxa"/>
            </w:tcMar>
          </w:tcPr>
          <w:p>
            <w:pPr>
              <w:spacing w:after="0" w:line="240" w:lineRule="auto"/>
              <w:jc w:val="left"/>
            </w:pPr>
            <w:r>
              <w:rPr>
                <w:color w:val="232D37"/>
                <w:sz w:val="15"/>
              </w:rPr>
              <w:t>Zoning, access logs, CCTV health, incident response</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Financial</w:t>
            </w:r>
          </w:p>
        </w:tc>
        <w:tc>
          <w:tcPr>
            <w:tcW w:type="dxa" w:w="3816"/>
            <w:vAlign w:val="center"/>
            <w:tcMar>
              <w:top w:w="90" w:type="dxa"/>
              <w:start w:w="100" w:type="dxa"/>
              <w:bottom w:w="90" w:type="dxa"/>
              <w:end w:w="100" w:type="dxa"/>
            </w:tcMar>
            <w:shd w:fill="F2F6FA"/>
          </w:tcPr>
          <w:p>
            <w:pPr>
              <w:spacing w:after="0" w:line="240" w:lineRule="auto"/>
              <w:jc w:val="left"/>
            </w:pPr>
            <w:r>
              <w:rPr>
                <w:color w:val="232D37"/>
                <w:sz w:val="15"/>
              </w:rPr>
              <w:t>Leakage, duplicate invoice, off-contract buying, budget overrun</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5"/>
              </w:rPr>
              <w:t>Three-way match, budget control, analytics and segregation</w:t>
            </w:r>
          </w:p>
        </w:tc>
      </w:tr>
      <w:tr>
        <w:tc>
          <w:tcPr>
            <w:tcW w:type="dxa" w:w="1728"/>
            <w:vAlign w:val="center"/>
            <w:tcMar>
              <w:top w:w="90" w:type="dxa"/>
              <w:start w:w="100" w:type="dxa"/>
              <w:bottom w:w="90" w:type="dxa"/>
              <w:end w:w="100" w:type="dxa"/>
            </w:tcMar>
          </w:tcPr>
          <w:p>
            <w:pPr>
              <w:spacing w:after="0" w:line="240" w:lineRule="auto"/>
              <w:jc w:val="center"/>
            </w:pPr>
            <w:r>
              <w:rPr>
                <w:color w:val="232D37"/>
                <w:sz w:val="15"/>
              </w:rPr>
              <w:t>Vendor</w:t>
            </w:r>
          </w:p>
        </w:tc>
        <w:tc>
          <w:tcPr>
            <w:tcW w:type="dxa" w:w="3816"/>
            <w:vAlign w:val="center"/>
            <w:tcMar>
              <w:top w:w="90" w:type="dxa"/>
              <w:start w:w="100" w:type="dxa"/>
              <w:bottom w:w="90" w:type="dxa"/>
              <w:end w:w="100" w:type="dxa"/>
            </w:tcMar>
          </w:tcPr>
          <w:p>
            <w:pPr>
              <w:spacing w:after="0" w:line="240" w:lineRule="auto"/>
              <w:jc w:val="left"/>
            </w:pPr>
            <w:r>
              <w:rPr>
                <w:color w:val="232D37"/>
                <w:sz w:val="15"/>
              </w:rPr>
              <w:t>Failure, concentration, non-compliance, labour disruption</w:t>
            </w:r>
          </w:p>
        </w:tc>
        <w:tc>
          <w:tcPr>
            <w:tcW w:type="dxa" w:w="4824"/>
            <w:vAlign w:val="center"/>
            <w:tcMar>
              <w:top w:w="90" w:type="dxa"/>
              <w:start w:w="100" w:type="dxa"/>
              <w:bottom w:w="90" w:type="dxa"/>
              <w:end w:w="100" w:type="dxa"/>
            </w:tcMar>
          </w:tcPr>
          <w:p>
            <w:pPr>
              <w:spacing w:after="0" w:line="240" w:lineRule="auto"/>
              <w:jc w:val="left"/>
            </w:pPr>
            <w:r>
              <w:rPr>
                <w:color w:val="232D37"/>
                <w:sz w:val="15"/>
              </w:rPr>
              <w:t>Due diligence, backup, performance security and continuity</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Asset</w:t>
            </w:r>
          </w:p>
        </w:tc>
        <w:tc>
          <w:tcPr>
            <w:tcW w:type="dxa" w:w="3816"/>
            <w:vAlign w:val="center"/>
            <w:tcMar>
              <w:top w:w="90" w:type="dxa"/>
              <w:start w:w="100" w:type="dxa"/>
              <w:bottom w:w="90" w:type="dxa"/>
              <w:end w:w="100" w:type="dxa"/>
            </w:tcMar>
            <w:shd w:fill="F2F6FA"/>
          </w:tcPr>
          <w:p>
            <w:pPr>
              <w:spacing w:after="0" w:line="240" w:lineRule="auto"/>
              <w:jc w:val="left"/>
            </w:pPr>
            <w:r>
              <w:rPr>
                <w:color w:val="232D37"/>
                <w:sz w:val="15"/>
              </w:rPr>
              <w:t>Failure, obsolescence, missing asset, poor condition</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5"/>
              </w:rPr>
              <w:t>Lifecycle plan, tagging, PM, condition and insurance</w:t>
            </w:r>
          </w:p>
        </w:tc>
      </w:tr>
      <w:tr>
        <w:tc>
          <w:tcPr>
            <w:tcW w:type="dxa" w:w="1728"/>
            <w:vAlign w:val="center"/>
            <w:tcMar>
              <w:top w:w="90" w:type="dxa"/>
              <w:start w:w="100" w:type="dxa"/>
              <w:bottom w:w="90" w:type="dxa"/>
              <w:end w:w="100" w:type="dxa"/>
            </w:tcMar>
          </w:tcPr>
          <w:p>
            <w:pPr>
              <w:spacing w:after="0" w:line="240" w:lineRule="auto"/>
              <w:jc w:val="center"/>
            </w:pPr>
            <w:r>
              <w:rPr>
                <w:color w:val="232D37"/>
                <w:sz w:val="15"/>
              </w:rPr>
              <w:t>Data/privacy</w:t>
            </w:r>
          </w:p>
        </w:tc>
        <w:tc>
          <w:tcPr>
            <w:tcW w:type="dxa" w:w="3816"/>
            <w:vAlign w:val="center"/>
            <w:tcMar>
              <w:top w:w="90" w:type="dxa"/>
              <w:start w:w="100" w:type="dxa"/>
              <w:bottom w:w="90" w:type="dxa"/>
              <w:end w:w="100" w:type="dxa"/>
            </w:tcMar>
          </w:tcPr>
          <w:p>
            <w:pPr>
              <w:spacing w:after="0" w:line="240" w:lineRule="auto"/>
              <w:jc w:val="left"/>
            </w:pPr>
            <w:r>
              <w:rPr>
                <w:color w:val="232D37"/>
                <w:sz w:val="15"/>
              </w:rPr>
              <w:t>Personal data, visitor records, CCTV, floor plans</w:t>
            </w:r>
          </w:p>
        </w:tc>
        <w:tc>
          <w:tcPr>
            <w:tcW w:type="dxa" w:w="4824"/>
            <w:vAlign w:val="center"/>
            <w:tcMar>
              <w:top w:w="90" w:type="dxa"/>
              <w:start w:w="100" w:type="dxa"/>
              <w:bottom w:w="90" w:type="dxa"/>
              <w:end w:w="100" w:type="dxa"/>
            </w:tcMar>
          </w:tcPr>
          <w:p>
            <w:pPr>
              <w:spacing w:after="0" w:line="240" w:lineRule="auto"/>
              <w:jc w:val="left"/>
            </w:pPr>
            <w:r>
              <w:rPr>
                <w:color w:val="232D37"/>
                <w:sz w:val="15"/>
              </w:rPr>
              <w:t>Role access, retention, encryption and audit logs</w:t>
            </w:r>
          </w:p>
        </w:tc>
      </w:tr>
      <w:tr>
        <w:tc>
          <w:tcPr>
            <w:tcW w:type="dxa" w:w="1728"/>
            <w:vAlign w:val="center"/>
            <w:tcMar>
              <w:top w:w="90" w:type="dxa"/>
              <w:start w:w="100" w:type="dxa"/>
              <w:bottom w:w="90" w:type="dxa"/>
              <w:end w:w="100" w:type="dxa"/>
            </w:tcMar>
            <w:shd w:fill="F2F6FA"/>
          </w:tcPr>
          <w:p>
            <w:pPr>
              <w:spacing w:after="0" w:line="240" w:lineRule="auto"/>
              <w:jc w:val="center"/>
            </w:pPr>
            <w:r>
              <w:rPr>
                <w:color w:val="232D37"/>
                <w:sz w:val="15"/>
              </w:rPr>
              <w:t>ESG</w:t>
            </w:r>
          </w:p>
        </w:tc>
        <w:tc>
          <w:tcPr>
            <w:tcW w:type="dxa" w:w="3816"/>
            <w:vAlign w:val="center"/>
            <w:tcMar>
              <w:top w:w="90" w:type="dxa"/>
              <w:start w:w="100" w:type="dxa"/>
              <w:bottom w:w="90" w:type="dxa"/>
              <w:end w:w="100" w:type="dxa"/>
            </w:tcMar>
            <w:shd w:fill="F2F6FA"/>
          </w:tcPr>
          <w:p>
            <w:pPr>
              <w:spacing w:after="0" w:line="240" w:lineRule="auto"/>
              <w:jc w:val="left"/>
            </w:pPr>
            <w:r>
              <w:rPr>
                <w:color w:val="232D37"/>
                <w:sz w:val="15"/>
              </w:rPr>
              <w:t>High energy/water, waste, pollution and unsafe disposal</w:t>
            </w:r>
          </w:p>
        </w:tc>
        <w:tc>
          <w:tcPr>
            <w:tcW w:type="dxa" w:w="4824"/>
            <w:vAlign w:val="center"/>
            <w:tcMar>
              <w:top w:w="90" w:type="dxa"/>
              <w:start w:w="100" w:type="dxa"/>
              <w:bottom w:w="90" w:type="dxa"/>
              <w:end w:w="100" w:type="dxa"/>
            </w:tcMar>
            <w:shd w:fill="F2F6FA"/>
          </w:tcPr>
          <w:p>
            <w:pPr>
              <w:spacing w:after="0" w:line="240" w:lineRule="auto"/>
              <w:jc w:val="left"/>
            </w:pPr>
            <w:r>
              <w:rPr>
                <w:color w:val="232D37"/>
                <w:sz w:val="15"/>
              </w:rPr>
              <w:t>Meters, targets, vendors, certificates and projects</w:t>
            </w:r>
          </w:p>
        </w:tc>
      </w:tr>
      <w:tr>
        <w:tc>
          <w:tcPr>
            <w:tcW w:type="dxa" w:w="1728"/>
            <w:vAlign w:val="center"/>
            <w:tcMar>
              <w:top w:w="90" w:type="dxa"/>
              <w:start w:w="100" w:type="dxa"/>
              <w:bottom w:w="90" w:type="dxa"/>
              <w:end w:w="100" w:type="dxa"/>
            </w:tcMar>
          </w:tcPr>
          <w:p>
            <w:pPr>
              <w:spacing w:after="0" w:line="240" w:lineRule="auto"/>
              <w:jc w:val="center"/>
            </w:pPr>
            <w:r>
              <w:rPr>
                <w:color w:val="232D37"/>
                <w:sz w:val="15"/>
              </w:rPr>
              <w:t>Reputation</w:t>
            </w:r>
          </w:p>
        </w:tc>
        <w:tc>
          <w:tcPr>
            <w:tcW w:type="dxa" w:w="3816"/>
            <w:vAlign w:val="center"/>
            <w:tcMar>
              <w:top w:w="90" w:type="dxa"/>
              <w:start w:w="100" w:type="dxa"/>
              <w:bottom w:w="90" w:type="dxa"/>
              <w:end w:w="100" w:type="dxa"/>
            </w:tcMar>
          </w:tcPr>
          <w:p>
            <w:pPr>
              <w:spacing w:after="0" w:line="240" w:lineRule="auto"/>
              <w:jc w:val="left"/>
            </w:pPr>
            <w:r>
              <w:rPr>
                <w:color w:val="232D37"/>
                <w:sz w:val="15"/>
              </w:rPr>
              <w:t>Poor branch/customer experience, visible breakdown</w:t>
            </w:r>
          </w:p>
        </w:tc>
        <w:tc>
          <w:tcPr>
            <w:tcW w:type="dxa" w:w="4824"/>
            <w:vAlign w:val="center"/>
            <w:tcMar>
              <w:top w:w="90" w:type="dxa"/>
              <w:start w:w="100" w:type="dxa"/>
              <w:bottom w:w="90" w:type="dxa"/>
              <w:end w:w="100" w:type="dxa"/>
            </w:tcMar>
          </w:tcPr>
          <w:p>
            <w:pPr>
              <w:spacing w:after="0" w:line="240" w:lineRule="auto"/>
              <w:jc w:val="left"/>
            </w:pPr>
            <w:r>
              <w:rPr>
                <w:color w:val="232D37"/>
                <w:sz w:val="15"/>
              </w:rPr>
              <w:t>Service standards, inspections and rapid communication</w:t>
            </w:r>
          </w:p>
        </w:tc>
      </w:tr>
    </w:tbl>
    <w:p>
      <w:pPr>
        <w:spacing w:after="40"/>
      </w:pPr>
    </w:p>
    <w:p>
      <w:pPr>
        <w:pStyle w:val="Heading2"/>
        <w:keepNext/>
      </w:pPr>
      <w:r>
        <w:t>10.4 Business continuity and emergency readiness</w:t>
      </w:r>
    </w:p>
    <w:p>
      <w:pPr>
        <w:pStyle w:val="ListBullet"/>
      </w:pPr>
      <w:r>
        <w:t>Site-level business impact and dependency assessment for power, cooling, water, access, workspace, transport and critical vendors.</w:t>
      </w:r>
    </w:p>
    <w:p>
      <w:pPr>
        <w:pStyle w:val="ListBullet"/>
      </w:pPr>
      <w:r>
        <w:t>Emergency response plans for fire, medical event, flood, severe weather, civil disruption, utility failure and security incident.</w:t>
      </w:r>
    </w:p>
    <w:p>
      <w:pPr>
        <w:pStyle w:val="ListBullet"/>
      </w:pPr>
      <w:r>
        <w:t>Emergency contact tree, command roles, assembly points, alternative workspace, vendor mobilisation and regulator/customer communication where required.</w:t>
      </w:r>
    </w:p>
    <w:p>
      <w:pPr>
        <w:pStyle w:val="ListBullet"/>
      </w:pPr>
      <w:r>
        <w:t>Periodic drills, lessons learned, action tracking, emergency-stock checks and recovery-time testing.</w:t>
      </w:r>
    </w:p>
    <w:p>
      <w:pPr>
        <w:pStyle w:val="ListBullet"/>
      </w:pPr>
      <w:r>
        <w:t>Critical spares, fuel, water, temporary cooling/power and mutual-aid arrangements sized by site criticality.</w:t>
      </w:r>
    </w:p>
    <w:p>
      <w:pPr>
        <w:pStyle w:val="Heading2"/>
        <w:keepNext/>
      </w:pPr>
      <w:r>
        <w:t>10.5 ESG and resource management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088"/>
            <w:shd w:fill="17365D"/>
            <w:vAlign w:val="center"/>
            <w:tcMar>
              <w:top w:w="90" w:type="dxa"/>
              <w:start w:w="100" w:type="dxa"/>
              <w:bottom w:w="90" w:type="dxa"/>
              <w:end w:w="100" w:type="dxa"/>
            </w:tcMar>
          </w:tcPr>
          <w:p>
            <w:pPr>
              <w:jc w:val="center"/>
            </w:pPr>
            <w:r>
              <w:rPr>
                <w:b/>
                <w:color w:val="FFFFFF"/>
                <w:sz w:val="16"/>
              </w:rPr>
              <w:t>Area</w:t>
            </w:r>
          </w:p>
        </w:tc>
        <w:tc>
          <w:tcPr>
            <w:tcW w:type="dxa" w:w="8280"/>
            <w:shd w:fill="17365D"/>
            <w:vAlign w:val="center"/>
            <w:tcMar>
              <w:top w:w="90" w:type="dxa"/>
              <w:start w:w="100" w:type="dxa"/>
              <w:bottom w:w="90" w:type="dxa"/>
              <w:end w:w="100" w:type="dxa"/>
            </w:tcMar>
          </w:tcPr>
          <w:p>
            <w:pPr>
              <w:jc w:val="center"/>
            </w:pPr>
            <w:r>
              <w:rPr>
                <w:b/>
                <w:color w:val="FFFFFF"/>
                <w:sz w:val="16"/>
              </w:rPr>
              <w:t>Metrics and controls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Energy</w:t>
            </w:r>
          </w:p>
        </w:tc>
        <w:tc>
          <w:tcPr>
            <w:tcW w:type="dxa" w:w="8280"/>
            <w:vAlign w:val="center"/>
            <w:tcMar>
              <w:top w:w="90" w:type="dxa"/>
              <w:start w:w="100" w:type="dxa"/>
              <w:bottom w:w="90" w:type="dxa"/>
              <w:end w:w="100" w:type="dxa"/>
            </w:tcMar>
          </w:tcPr>
          <w:p>
            <w:pPr>
              <w:spacing w:after="0" w:line="240" w:lineRule="auto"/>
              <w:jc w:val="left"/>
            </w:pPr>
            <w:r>
              <w:rPr>
                <w:color w:val="232D37"/>
                <w:sz w:val="16"/>
              </w:rPr>
              <w:t>kWh, demand, power factor, renewable share, intensity per sq. ft./employee/transaction, abnormal-use alerts</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Fuel/emissions</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DG fuel, refrigerant leakage, fleet fuel, emission factors and reduction initiatives</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Water</w:t>
            </w:r>
          </w:p>
        </w:tc>
        <w:tc>
          <w:tcPr>
            <w:tcW w:type="dxa" w:w="8280"/>
            <w:vAlign w:val="center"/>
            <w:tcMar>
              <w:top w:w="90" w:type="dxa"/>
              <w:start w:w="100" w:type="dxa"/>
              <w:bottom w:w="90" w:type="dxa"/>
              <w:end w:w="100" w:type="dxa"/>
            </w:tcMar>
          </w:tcPr>
          <w:p>
            <w:pPr>
              <w:spacing w:after="0" w:line="240" w:lineRule="auto"/>
              <w:jc w:val="left"/>
            </w:pPr>
            <w:r>
              <w:rPr>
                <w:color w:val="232D37"/>
                <w:sz w:val="16"/>
              </w:rPr>
              <w:t>Source, consumption, intensity, quality, leakage, treatment and reuse</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Waste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Type, weight/volume, segregation, recycler, manifest/certificate and diversion from landfill</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Indoor environment</w:t>
            </w:r>
          </w:p>
        </w:tc>
        <w:tc>
          <w:tcPr>
            <w:tcW w:type="dxa" w:w="8280"/>
            <w:vAlign w:val="center"/>
            <w:tcMar>
              <w:top w:w="90" w:type="dxa"/>
              <w:start w:w="100" w:type="dxa"/>
              <w:bottom w:w="90" w:type="dxa"/>
              <w:end w:w="100" w:type="dxa"/>
            </w:tcMar>
          </w:tcPr>
          <w:p>
            <w:pPr>
              <w:spacing w:after="0" w:line="240" w:lineRule="auto"/>
              <w:jc w:val="left"/>
            </w:pPr>
            <w:r>
              <w:rPr>
                <w:color w:val="232D37"/>
                <w:sz w:val="16"/>
              </w:rPr>
              <w:t>Temperature, humidity, CO2, PM2.5/VOC, complaints and corrective action</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Green buildings</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Rating, certification, energy audit, commissioning and improvement plan</w:t>
            </w:r>
          </w:p>
        </w:tc>
      </w:tr>
      <w:tr>
        <w:tc>
          <w:tcPr>
            <w:tcW w:type="dxa" w:w="2088"/>
            <w:vAlign w:val="center"/>
            <w:tcMar>
              <w:top w:w="90" w:type="dxa"/>
              <w:start w:w="100" w:type="dxa"/>
              <w:bottom w:w="90" w:type="dxa"/>
              <w:end w:w="100" w:type="dxa"/>
            </w:tcMar>
          </w:tcPr>
          <w:p>
            <w:pPr>
              <w:spacing w:after="0" w:line="240" w:lineRule="auto"/>
              <w:jc w:val="center"/>
            </w:pPr>
            <w:r>
              <w:rPr>
                <w:color w:val="232D37"/>
                <w:sz w:val="16"/>
              </w:rPr>
              <w:t>Social/accessibility</w:t>
            </w:r>
          </w:p>
        </w:tc>
        <w:tc>
          <w:tcPr>
            <w:tcW w:type="dxa" w:w="8280"/>
            <w:vAlign w:val="center"/>
            <w:tcMar>
              <w:top w:w="90" w:type="dxa"/>
              <w:start w:w="100" w:type="dxa"/>
              <w:bottom w:w="90" w:type="dxa"/>
              <w:end w:w="100" w:type="dxa"/>
            </w:tcMar>
          </w:tcPr>
          <w:p>
            <w:pPr>
              <w:spacing w:after="0" w:line="240" w:lineRule="auto"/>
              <w:jc w:val="left"/>
            </w:pPr>
            <w:r>
              <w:rPr>
                <w:color w:val="232D37"/>
                <w:sz w:val="16"/>
              </w:rPr>
              <w:t>Accessible routes/services, inclusive amenities, contractor welfare and safety</w:t>
            </w:r>
          </w:p>
        </w:tc>
      </w:tr>
      <w:tr>
        <w:tc>
          <w:tcPr>
            <w:tcW w:type="dxa" w:w="2088"/>
            <w:vAlign w:val="center"/>
            <w:tcMar>
              <w:top w:w="90" w:type="dxa"/>
              <w:start w:w="100" w:type="dxa"/>
              <w:bottom w:w="90" w:type="dxa"/>
              <w:end w:w="100" w:type="dxa"/>
            </w:tcMar>
            <w:shd w:fill="F2F6FA"/>
          </w:tcPr>
          <w:p>
            <w:pPr>
              <w:spacing w:after="0" w:line="240" w:lineRule="auto"/>
              <w:jc w:val="center"/>
            </w:pPr>
            <w:r>
              <w:rPr>
                <w:color w:val="232D37"/>
                <w:sz w:val="16"/>
              </w:rPr>
              <w:t>Governance</w:t>
            </w:r>
          </w:p>
        </w:tc>
        <w:tc>
          <w:tcPr>
            <w:tcW w:type="dxa" w:w="8280"/>
            <w:vAlign w:val="center"/>
            <w:tcMar>
              <w:top w:w="90" w:type="dxa"/>
              <w:start w:w="100" w:type="dxa"/>
              <w:bottom w:w="90" w:type="dxa"/>
              <w:end w:w="100" w:type="dxa"/>
            </w:tcMar>
            <w:shd w:fill="F2F6FA"/>
          </w:tcPr>
          <w:p>
            <w:pPr>
              <w:spacing w:after="0" w:line="240" w:lineRule="auto"/>
              <w:jc w:val="left"/>
            </w:pPr>
            <w:r>
              <w:rPr>
                <w:color w:val="232D37"/>
                <w:sz w:val="16"/>
              </w:rPr>
              <w:t>Targets, ownership, evidence, assurance, supplier clauses and investment benefits</w:t>
            </w:r>
          </w:p>
        </w:tc>
      </w:tr>
    </w:tbl>
    <w:p>
      <w:pPr>
        <w:spacing w:after="40"/>
      </w:pPr>
    </w:p>
    <w:p>
      <w:pPr>
        <w:pStyle w:val="Heading1"/>
        <w:keepNext/>
      </w:pPr>
      <w:r>
        <w:t>11. Data Architecture, Roles, Integrations and Reporting</w:t>
      </w:r>
    </w:p>
    <w:p>
      <w:pPr>
        <w:pStyle w:val="Heading2"/>
        <w:keepNext/>
      </w:pPr>
      <w:r>
        <w:t>11.1 Core master-data objects</w:t>
      </w:r>
    </w:p>
    <w:p>
      <w:pPr>
        <w:pStyle w:val="ListBullet"/>
      </w:pPr>
      <w:r>
        <w:t>Organisation</w:t>
      </w:r>
    </w:p>
    <w:p>
      <w:pPr>
        <w:pStyle w:val="ListBullet"/>
      </w:pPr>
      <w:r>
        <w:t>Legal entity</w:t>
      </w:r>
    </w:p>
    <w:p>
      <w:pPr>
        <w:pStyle w:val="ListBullet"/>
      </w:pPr>
      <w:r>
        <w:t>Business unit</w:t>
      </w:r>
    </w:p>
    <w:p>
      <w:pPr>
        <w:pStyle w:val="ListBullet"/>
      </w:pPr>
      <w:r>
        <w:t>Geography</w:t>
      </w:r>
    </w:p>
    <w:p>
      <w:pPr>
        <w:pStyle w:val="ListBullet"/>
      </w:pPr>
      <w:r>
        <w:t>Location</w:t>
      </w:r>
    </w:p>
    <w:p>
      <w:pPr>
        <w:pStyle w:val="ListBullet"/>
      </w:pPr>
      <w:r>
        <w:t>Building/floor/space</w:t>
      </w:r>
    </w:p>
    <w:p>
      <w:pPr>
        <w:pStyle w:val="ListBullet"/>
      </w:pPr>
      <w:r>
        <w:t>Employee/requester</w:t>
      </w:r>
    </w:p>
    <w:p>
      <w:pPr>
        <w:pStyle w:val="ListBullet"/>
      </w:pPr>
      <w:r>
        <w:t>Cost centre/GL/WBS</w:t>
      </w:r>
    </w:p>
    <w:p>
      <w:pPr>
        <w:pStyle w:val="ListBullet"/>
      </w:pPr>
      <w:r>
        <w:t>Service catalogue</w:t>
      </w:r>
    </w:p>
    <w:p>
      <w:pPr>
        <w:pStyle w:val="ListBullet"/>
      </w:pPr>
      <w:r>
        <w:t>SLA and escalation</w:t>
      </w:r>
    </w:p>
    <w:p>
      <w:pPr>
        <w:pStyle w:val="ListBullet"/>
      </w:pPr>
      <w:r>
        <w:t>Asset and functional position</w:t>
      </w:r>
    </w:p>
    <w:p>
      <w:pPr>
        <w:pStyle w:val="ListBullet"/>
      </w:pPr>
      <w:r>
        <w:t>Meter and sensor</w:t>
      </w:r>
    </w:p>
    <w:p>
      <w:pPr>
        <w:pStyle w:val="ListBullet"/>
      </w:pPr>
      <w:r>
        <w:t>Item/material</w:t>
      </w:r>
    </w:p>
    <w:p>
      <w:pPr>
        <w:pStyle w:val="ListBullet"/>
      </w:pPr>
      <w:r>
        <w:t>Stock location</w:t>
      </w:r>
    </w:p>
    <w:p>
      <w:pPr>
        <w:pStyle w:val="ListBullet"/>
      </w:pPr>
      <w:r>
        <w:t>Vendor</w:t>
      </w:r>
    </w:p>
    <w:p>
      <w:pPr>
        <w:pStyle w:val="ListBullet"/>
      </w:pPr>
      <w:r>
        <w:t>Contract/rate card</w:t>
      </w:r>
    </w:p>
    <w:p>
      <w:pPr>
        <w:pStyle w:val="ListBullet"/>
      </w:pPr>
      <w:r>
        <w:t>Budget</w:t>
      </w:r>
    </w:p>
    <w:p>
      <w:pPr>
        <w:pStyle w:val="ListBullet"/>
      </w:pPr>
      <w:r>
        <w:t>Project</w:t>
      </w:r>
    </w:p>
    <w:p>
      <w:pPr>
        <w:pStyle w:val="ListBullet"/>
      </w:pPr>
      <w:r>
        <w:t>Request/incident/work order</w:t>
      </w:r>
    </w:p>
    <w:p>
      <w:pPr>
        <w:pStyle w:val="ListBullet"/>
      </w:pPr>
      <w:r>
        <w:t>PM plan/job plan</w:t>
      </w:r>
    </w:p>
    <w:p>
      <w:pPr>
        <w:pStyle w:val="ListBullet"/>
      </w:pPr>
      <w:r>
        <w:t>Purchase order/receipt/invoice</w:t>
      </w:r>
    </w:p>
    <w:p>
      <w:pPr>
        <w:pStyle w:val="ListBullet"/>
      </w:pPr>
      <w:r>
        <w:t>Compliance obligation</w:t>
      </w:r>
    </w:p>
    <w:p>
      <w:pPr>
        <w:pStyle w:val="ListBullet"/>
      </w:pPr>
      <w:r>
        <w:t>Risk and audit finding</w:t>
      </w:r>
    </w:p>
    <w:p>
      <w:pPr>
        <w:pStyle w:val="ListBullet"/>
      </w:pPr>
      <w:r>
        <w:t>Utility bill/consumption</w:t>
      </w:r>
    </w:p>
    <w:p>
      <w:pPr>
        <w:pStyle w:val="ListBullet"/>
      </w:pPr>
      <w:r>
        <w:t>Document and evidence</w:t>
      </w:r>
    </w:p>
    <w:p>
      <w:pPr>
        <w:pStyle w:val="Heading2"/>
        <w:keepNext/>
      </w:pPr>
      <w:r>
        <w:t>11.2 Role-based access and accountability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Mar>
              <w:top w:w="90" w:type="dxa"/>
              <w:start w:w="100" w:type="dxa"/>
              <w:bottom w:w="90" w:type="dxa"/>
              <w:end w:w="100" w:type="dxa"/>
            </w:tcMar>
          </w:tcPr>
          <w:p>
            <w:pPr>
              <w:jc w:val="center"/>
            </w:pPr>
            <w:r>
              <w:rPr>
                <w:b/>
                <w:color w:val="FFFFFF"/>
                <w:sz w:val="16"/>
              </w:rPr>
              <w:t>Role</w:t>
            </w:r>
          </w:p>
        </w:tc>
        <w:tc>
          <w:tcPr>
            <w:tcW w:type="dxa" w:w="7992"/>
            <w:shd w:fill="17365D"/>
            <w:vAlign w:val="center"/>
            <w:tcMar>
              <w:top w:w="90" w:type="dxa"/>
              <w:start w:w="100" w:type="dxa"/>
              <w:bottom w:w="90" w:type="dxa"/>
              <w:end w:w="100" w:type="dxa"/>
            </w:tcMar>
          </w:tcPr>
          <w:p>
            <w:pPr>
              <w:jc w:val="center"/>
            </w:pPr>
            <w:r>
              <w:rPr>
                <w:b/>
                <w:color w:val="FFFFFF"/>
                <w:sz w:val="16"/>
              </w:rPr>
              <w:t>Core responsibility</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Enterprise administrator</w:t>
            </w:r>
          </w:p>
        </w:tc>
        <w:tc>
          <w:tcPr>
            <w:tcW w:type="dxa" w:w="7992"/>
            <w:vAlign w:val="center"/>
            <w:tcMar>
              <w:top w:w="90" w:type="dxa"/>
              <w:start w:w="100" w:type="dxa"/>
              <w:bottom w:w="90" w:type="dxa"/>
              <w:end w:w="100" w:type="dxa"/>
            </w:tcMar>
          </w:tcPr>
          <w:p>
            <w:pPr>
              <w:spacing w:after="0" w:line="240" w:lineRule="auto"/>
              <w:jc w:val="left"/>
            </w:pPr>
            <w:r>
              <w:rPr>
                <w:color w:val="232D37"/>
                <w:sz w:val="16"/>
              </w:rPr>
              <w:t>Taxonomy, configuration, integration, security and data standards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Corporate facilities head</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Strategy, standards, portfolio, performance and enterprise budget</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Regional facilities manager</w:t>
            </w:r>
          </w:p>
        </w:tc>
        <w:tc>
          <w:tcPr>
            <w:tcW w:type="dxa" w:w="7992"/>
            <w:vAlign w:val="center"/>
            <w:tcMar>
              <w:top w:w="90" w:type="dxa"/>
              <w:start w:w="100" w:type="dxa"/>
              <w:bottom w:w="90" w:type="dxa"/>
              <w:end w:w="100" w:type="dxa"/>
            </w:tcMar>
          </w:tcPr>
          <w:p>
            <w:pPr>
              <w:spacing w:after="0" w:line="240" w:lineRule="auto"/>
              <w:jc w:val="left"/>
            </w:pPr>
            <w:r>
              <w:rPr>
                <w:color w:val="232D37"/>
                <w:sz w:val="16"/>
              </w:rPr>
              <w:t>Regional operations, vendors, budget and escalations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Location/branch head</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Site accountability, approval, confirmation and emergency leadership</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Facility executive/engineer</w:t>
            </w:r>
          </w:p>
        </w:tc>
        <w:tc>
          <w:tcPr>
            <w:tcW w:type="dxa" w:w="7992"/>
            <w:vAlign w:val="center"/>
            <w:tcMar>
              <w:top w:w="90" w:type="dxa"/>
              <w:start w:w="100" w:type="dxa"/>
              <w:bottom w:w="90" w:type="dxa"/>
              <w:end w:w="100" w:type="dxa"/>
            </w:tcMar>
          </w:tcPr>
          <w:p>
            <w:pPr>
              <w:spacing w:after="0" w:line="240" w:lineRule="auto"/>
              <w:jc w:val="left"/>
            </w:pPr>
            <w:r>
              <w:rPr>
                <w:color w:val="232D37"/>
                <w:sz w:val="16"/>
              </w:rPr>
              <w:t>Daily operations, inspections, work orders, evidence and vendor coordination</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Service desk</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Case capture, triage, communication, routing and SLA monitoring</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Procurement</w:t>
            </w:r>
          </w:p>
        </w:tc>
        <w:tc>
          <w:tcPr>
            <w:tcW w:type="dxa" w:w="7992"/>
            <w:vAlign w:val="center"/>
            <w:tcMar>
              <w:top w:w="90" w:type="dxa"/>
              <w:start w:w="100" w:type="dxa"/>
              <w:bottom w:w="90" w:type="dxa"/>
              <w:end w:w="100" w:type="dxa"/>
            </w:tcMar>
          </w:tcPr>
          <w:p>
            <w:pPr>
              <w:spacing w:after="0" w:line="240" w:lineRule="auto"/>
              <w:jc w:val="left"/>
            </w:pPr>
            <w:r>
              <w:rPr>
                <w:color w:val="232D37"/>
                <w:sz w:val="16"/>
              </w:rPr>
              <w:t>Sourcing, vendor, contract and PO governance</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Finance/controller</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Budget, accounting, tax, accrual, invoice and payment controls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Asset manager</w:t>
            </w:r>
          </w:p>
        </w:tc>
        <w:tc>
          <w:tcPr>
            <w:tcW w:type="dxa" w:w="7992"/>
            <w:vAlign w:val="center"/>
            <w:tcMar>
              <w:top w:w="90" w:type="dxa"/>
              <w:start w:w="100" w:type="dxa"/>
              <w:bottom w:w="90" w:type="dxa"/>
              <w:end w:w="100" w:type="dxa"/>
            </w:tcMar>
          </w:tcPr>
          <w:p>
            <w:pPr>
              <w:spacing w:after="0" w:line="240" w:lineRule="auto"/>
              <w:jc w:val="left"/>
            </w:pPr>
            <w:r>
              <w:rPr>
                <w:color w:val="232D37"/>
                <w:sz w:val="16"/>
              </w:rPr>
              <w:t>Asset master, custody, maintenance, lifecycle and disposal</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Inventory custodian</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Receipt, storage, issue, count, controlled items and expiry</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Safety/security/risk</w:t>
            </w:r>
          </w:p>
        </w:tc>
        <w:tc>
          <w:tcPr>
            <w:tcW w:type="dxa" w:w="7992"/>
            <w:vAlign w:val="center"/>
            <w:tcMar>
              <w:top w:w="90" w:type="dxa"/>
              <w:start w:w="100" w:type="dxa"/>
              <w:bottom w:w="90" w:type="dxa"/>
              <w:end w:w="100" w:type="dxa"/>
            </w:tcMar>
          </w:tcPr>
          <w:p>
            <w:pPr>
              <w:spacing w:after="0" w:line="240" w:lineRule="auto"/>
              <w:jc w:val="left"/>
            </w:pPr>
            <w:r>
              <w:rPr>
                <w:color w:val="232D37"/>
                <w:sz w:val="16"/>
              </w:rPr>
              <w:t>Standards, audits, incidents, compliance and corrective actions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Vendor user</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Assigned work, attendance, evidence, quotation and invoice support</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Employee/requester</w:t>
            </w:r>
          </w:p>
        </w:tc>
        <w:tc>
          <w:tcPr>
            <w:tcW w:type="dxa" w:w="7992"/>
            <w:vAlign w:val="center"/>
            <w:tcMar>
              <w:top w:w="90" w:type="dxa"/>
              <w:start w:w="100" w:type="dxa"/>
              <w:bottom w:w="90" w:type="dxa"/>
              <w:end w:w="100" w:type="dxa"/>
            </w:tcMar>
          </w:tcPr>
          <w:p>
            <w:pPr>
              <w:spacing w:after="0" w:line="240" w:lineRule="auto"/>
              <w:jc w:val="left"/>
            </w:pPr>
            <w:r>
              <w:rPr>
                <w:color w:val="232D37"/>
                <w:sz w:val="16"/>
              </w:rPr>
              <w:t>Request, approval input, acknowledgement, feedback and self-service</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Auditor</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Read-only traceability, samples, evidence and exception reporting</w:t>
            </w:r>
          </w:p>
        </w:tc>
      </w:tr>
    </w:tbl>
    <w:p>
      <w:pPr>
        <w:spacing w:after="40"/>
      </w:pPr>
    </w:p>
    <w:p>
      <w:pPr>
        <w:pStyle w:val="Heading2"/>
        <w:keepNext/>
      </w:pPr>
      <w:r>
        <w:t>11.3 RACI summary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3096"/>
            <w:shd w:fill="17365D"/>
            <w:vAlign w:val="center"/>
            <w:tcMar>
              <w:top w:w="90" w:type="dxa"/>
              <w:start w:w="100" w:type="dxa"/>
              <w:bottom w:w="90" w:type="dxa"/>
              <w:end w:w="100" w:type="dxa"/>
            </w:tcMar>
          </w:tcPr>
          <w:p>
            <w:pPr>
              <w:jc w:val="center"/>
            </w:pPr>
            <w:r>
              <w:rPr>
                <w:b/>
                <w:color w:val="FFFFFF"/>
                <w:sz w:val="15"/>
              </w:rPr>
              <w:t>Activity</w:t>
            </w:r>
          </w:p>
        </w:tc>
        <w:tc>
          <w:tcPr>
            <w:tcW w:type="dxa" w:w="1224"/>
            <w:shd w:fill="17365D"/>
            <w:vAlign w:val="center"/>
            <w:tcMar>
              <w:top w:w="90" w:type="dxa"/>
              <w:start w:w="100" w:type="dxa"/>
              <w:bottom w:w="90" w:type="dxa"/>
              <w:end w:w="100" w:type="dxa"/>
            </w:tcMar>
          </w:tcPr>
          <w:p>
            <w:pPr>
              <w:jc w:val="center"/>
            </w:pPr>
            <w:r>
              <w:rPr>
                <w:b/>
                <w:color w:val="FFFFFF"/>
                <w:sz w:val="15"/>
              </w:rPr>
              <w:t>Corporate</w:t>
            </w:r>
          </w:p>
        </w:tc>
        <w:tc>
          <w:tcPr>
            <w:tcW w:type="dxa" w:w="1224"/>
            <w:shd w:fill="17365D"/>
            <w:vAlign w:val="center"/>
            <w:tcMar>
              <w:top w:w="90" w:type="dxa"/>
              <w:start w:w="100" w:type="dxa"/>
              <w:bottom w:w="90" w:type="dxa"/>
              <w:end w:w="100" w:type="dxa"/>
            </w:tcMar>
          </w:tcPr>
          <w:p>
            <w:pPr>
              <w:jc w:val="center"/>
            </w:pPr>
            <w:r>
              <w:rPr>
                <w:b/>
                <w:color w:val="FFFFFF"/>
                <w:sz w:val="15"/>
              </w:rPr>
              <w:t>Regional</w:t>
            </w:r>
          </w:p>
        </w:tc>
        <w:tc>
          <w:tcPr>
            <w:tcW w:type="dxa" w:w="1224"/>
            <w:shd w:fill="17365D"/>
            <w:vAlign w:val="center"/>
            <w:tcMar>
              <w:top w:w="90" w:type="dxa"/>
              <w:start w:w="100" w:type="dxa"/>
              <w:bottom w:w="90" w:type="dxa"/>
              <w:end w:w="100" w:type="dxa"/>
            </w:tcMar>
          </w:tcPr>
          <w:p>
            <w:pPr>
              <w:jc w:val="center"/>
            </w:pPr>
            <w:r>
              <w:rPr>
                <w:b/>
                <w:color w:val="FFFFFF"/>
                <w:sz w:val="15"/>
              </w:rPr>
              <w:t>Location</w:t>
            </w:r>
          </w:p>
        </w:tc>
        <w:tc>
          <w:tcPr>
            <w:tcW w:type="dxa" w:w="1800"/>
            <w:shd w:fill="17365D"/>
            <w:vAlign w:val="center"/>
            <w:tcMar>
              <w:top w:w="90" w:type="dxa"/>
              <w:start w:w="100" w:type="dxa"/>
              <w:bottom w:w="90" w:type="dxa"/>
              <w:end w:w="100" w:type="dxa"/>
            </w:tcMar>
          </w:tcPr>
          <w:p>
            <w:pPr>
              <w:jc w:val="center"/>
            </w:pPr>
            <w:r>
              <w:rPr>
                <w:b/>
                <w:color w:val="FFFFFF"/>
                <w:sz w:val="15"/>
              </w:rPr>
              <w:t>Procurement/Finance</w:t>
            </w:r>
          </w:p>
        </w:tc>
        <w:tc>
          <w:tcPr>
            <w:tcW w:type="dxa" w:w="1224"/>
            <w:shd w:fill="17365D"/>
            <w:vAlign w:val="center"/>
            <w:tcMar>
              <w:top w:w="90" w:type="dxa"/>
              <w:start w:w="100" w:type="dxa"/>
              <w:bottom w:w="90" w:type="dxa"/>
              <w:end w:w="100" w:type="dxa"/>
            </w:tcMar>
          </w:tcPr>
          <w:p>
            <w:pPr>
              <w:jc w:val="center"/>
            </w:pPr>
            <w:r>
              <w:rPr>
                <w:b/>
                <w:color w:val="FFFFFF"/>
                <w:sz w:val="15"/>
              </w:rPr>
              <w:t>Vendor</w:t>
            </w:r>
          </w:p>
        </w:tc>
      </w:tr>
      <w:tr>
        <w:tc>
          <w:tcPr>
            <w:tcW w:type="dxa" w:w="3096"/>
            <w:vAlign w:val="center"/>
            <w:tcMar>
              <w:top w:w="90" w:type="dxa"/>
              <w:start w:w="100" w:type="dxa"/>
              <w:bottom w:w="90" w:type="dxa"/>
              <w:end w:w="100" w:type="dxa"/>
            </w:tcMar>
          </w:tcPr>
          <w:p>
            <w:pPr>
              <w:spacing w:after="0" w:line="240" w:lineRule="auto"/>
              <w:jc w:val="center"/>
            </w:pPr>
            <w:r>
              <w:rPr>
                <w:color w:val="232D37"/>
                <w:sz w:val="15"/>
              </w:rPr>
              <w:t>Set standards</w:t>
            </w:r>
          </w:p>
        </w:tc>
        <w:tc>
          <w:tcPr>
            <w:tcW w:type="dxa" w:w="1224"/>
            <w:vAlign w:val="center"/>
            <w:tcMar>
              <w:top w:w="90" w:type="dxa"/>
              <w:start w:w="100" w:type="dxa"/>
              <w:bottom w:w="90" w:type="dxa"/>
              <w:end w:w="100" w:type="dxa"/>
            </w:tcMar>
          </w:tcPr>
          <w:p>
            <w:pPr>
              <w:spacing w:after="0" w:line="240" w:lineRule="auto"/>
              <w:jc w:val="center"/>
            </w:pPr>
            <w:r>
              <w:rPr>
                <w:color w:val="232D37"/>
                <w:sz w:val="15"/>
              </w:rPr>
              <w:t>A/R</w:t>
            </w:r>
          </w:p>
        </w:tc>
        <w:tc>
          <w:tcPr>
            <w:tcW w:type="dxa" w:w="1224"/>
            <w:vAlign w:val="center"/>
            <w:tcMar>
              <w:top w:w="90" w:type="dxa"/>
              <w:start w:w="100" w:type="dxa"/>
              <w:bottom w:w="90" w:type="dxa"/>
              <w:end w:w="100" w:type="dxa"/>
            </w:tcMar>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tcPr>
          <w:p>
            <w:pPr>
              <w:spacing w:after="0" w:line="240" w:lineRule="auto"/>
              <w:jc w:val="center"/>
            </w:pPr>
            <w:r>
              <w:rPr>
                <w:color w:val="232D37"/>
                <w:sz w:val="15"/>
              </w:rPr>
              <w:t>C</w:t>
            </w:r>
          </w:p>
        </w:tc>
        <w:tc>
          <w:tcPr>
            <w:tcW w:type="dxa" w:w="1800"/>
            <w:vAlign w:val="center"/>
            <w:tcMar>
              <w:top w:w="90" w:type="dxa"/>
              <w:start w:w="100" w:type="dxa"/>
              <w:bottom w:w="90" w:type="dxa"/>
              <w:end w:w="100" w:type="dxa"/>
            </w:tcMar>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tcPr>
          <w:p>
            <w:pPr>
              <w:spacing w:after="0" w:line="240" w:lineRule="auto"/>
              <w:jc w:val="center"/>
            </w:pPr>
            <w:r>
              <w:rPr>
                <w:color w:val="232D37"/>
                <w:sz w:val="15"/>
              </w:rPr>
              <w:t>I</w:t>
            </w:r>
          </w:p>
        </w:tc>
      </w:tr>
      <w:tr>
        <w:tc>
          <w:tcPr>
            <w:tcW w:type="dxa" w:w="3096"/>
            <w:vAlign w:val="center"/>
            <w:tcMar>
              <w:top w:w="90" w:type="dxa"/>
              <w:start w:w="100" w:type="dxa"/>
              <w:bottom w:w="90" w:type="dxa"/>
              <w:end w:w="100" w:type="dxa"/>
            </w:tcMar>
            <w:shd w:fill="F2F6FA"/>
          </w:tcPr>
          <w:p>
            <w:pPr>
              <w:spacing w:after="0" w:line="240" w:lineRule="auto"/>
              <w:jc w:val="center"/>
            </w:pPr>
            <w:r>
              <w:rPr>
                <w:color w:val="232D37"/>
                <w:sz w:val="15"/>
              </w:rPr>
              <w:t>Approve local service request</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I</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A/R</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5"/>
              </w:rPr>
              <w:t>I</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I</w:t>
            </w:r>
          </w:p>
        </w:tc>
      </w:tr>
      <w:tr>
        <w:tc>
          <w:tcPr>
            <w:tcW w:type="dxa" w:w="3096"/>
            <w:vAlign w:val="center"/>
            <w:tcMar>
              <w:top w:w="90" w:type="dxa"/>
              <w:start w:w="100" w:type="dxa"/>
              <w:bottom w:w="90" w:type="dxa"/>
              <w:end w:w="100" w:type="dxa"/>
            </w:tcMar>
          </w:tcPr>
          <w:p>
            <w:pPr>
              <w:spacing w:after="0" w:line="240" w:lineRule="auto"/>
              <w:jc w:val="center"/>
            </w:pPr>
            <w:r>
              <w:rPr>
                <w:color w:val="232D37"/>
                <w:sz w:val="15"/>
              </w:rPr>
              <w:t>Run daily operations</w:t>
            </w:r>
          </w:p>
        </w:tc>
        <w:tc>
          <w:tcPr>
            <w:tcW w:type="dxa" w:w="1224"/>
            <w:vAlign w:val="center"/>
            <w:tcMar>
              <w:top w:w="90" w:type="dxa"/>
              <w:start w:w="100" w:type="dxa"/>
              <w:bottom w:w="90" w:type="dxa"/>
              <w:end w:w="100" w:type="dxa"/>
            </w:tcMar>
          </w:tcPr>
          <w:p>
            <w:pPr>
              <w:spacing w:after="0" w:line="240" w:lineRule="auto"/>
              <w:jc w:val="center"/>
            </w:pPr>
            <w:r>
              <w:rPr>
                <w:color w:val="232D37"/>
                <w:sz w:val="15"/>
              </w:rPr>
              <w:t>I</w:t>
            </w:r>
          </w:p>
        </w:tc>
        <w:tc>
          <w:tcPr>
            <w:tcW w:type="dxa" w:w="1224"/>
            <w:vAlign w:val="center"/>
            <w:tcMar>
              <w:top w:w="90" w:type="dxa"/>
              <w:start w:w="100" w:type="dxa"/>
              <w:bottom w:w="90" w:type="dxa"/>
              <w:end w:w="100" w:type="dxa"/>
            </w:tcMar>
          </w:tcPr>
          <w:p>
            <w:pPr>
              <w:spacing w:after="0" w:line="240" w:lineRule="auto"/>
              <w:jc w:val="center"/>
            </w:pPr>
            <w:r>
              <w:rPr>
                <w:color w:val="232D37"/>
                <w:sz w:val="15"/>
              </w:rPr>
              <w:t>A</w:t>
            </w:r>
          </w:p>
        </w:tc>
        <w:tc>
          <w:tcPr>
            <w:tcW w:type="dxa" w:w="1224"/>
            <w:vAlign w:val="center"/>
            <w:tcMar>
              <w:top w:w="90" w:type="dxa"/>
              <w:start w:w="100" w:type="dxa"/>
              <w:bottom w:w="90" w:type="dxa"/>
              <w:end w:w="100" w:type="dxa"/>
            </w:tcMar>
          </w:tcPr>
          <w:p>
            <w:pPr>
              <w:spacing w:after="0" w:line="240" w:lineRule="auto"/>
              <w:jc w:val="center"/>
            </w:pPr>
            <w:r>
              <w:rPr>
                <w:color w:val="232D37"/>
                <w:sz w:val="15"/>
              </w:rPr>
              <w:t>R</w:t>
            </w:r>
          </w:p>
        </w:tc>
        <w:tc>
          <w:tcPr>
            <w:tcW w:type="dxa" w:w="1800"/>
            <w:vAlign w:val="center"/>
            <w:tcMar>
              <w:top w:w="90" w:type="dxa"/>
              <w:start w:w="100" w:type="dxa"/>
              <w:bottom w:w="90" w:type="dxa"/>
              <w:end w:w="100" w:type="dxa"/>
            </w:tcMar>
          </w:tcPr>
          <w:p>
            <w:pPr>
              <w:spacing w:after="0" w:line="240" w:lineRule="auto"/>
              <w:jc w:val="center"/>
            </w:pPr>
            <w:r>
              <w:rPr>
                <w:color w:val="232D37"/>
                <w:sz w:val="15"/>
              </w:rPr>
              <w:t>I</w:t>
            </w:r>
          </w:p>
        </w:tc>
        <w:tc>
          <w:tcPr>
            <w:tcW w:type="dxa" w:w="1224"/>
            <w:vAlign w:val="center"/>
            <w:tcMar>
              <w:top w:w="90" w:type="dxa"/>
              <w:start w:w="100" w:type="dxa"/>
              <w:bottom w:w="90" w:type="dxa"/>
              <w:end w:w="100" w:type="dxa"/>
            </w:tcMar>
          </w:tcPr>
          <w:p>
            <w:pPr>
              <w:spacing w:after="0" w:line="240" w:lineRule="auto"/>
              <w:jc w:val="center"/>
            </w:pPr>
            <w:r>
              <w:rPr>
                <w:color w:val="232D37"/>
                <w:sz w:val="15"/>
              </w:rPr>
              <w:t>R</w:t>
            </w:r>
          </w:p>
        </w:tc>
      </w:tr>
      <w:tr>
        <w:tc>
          <w:tcPr>
            <w:tcW w:type="dxa" w:w="3096"/>
            <w:vAlign w:val="center"/>
            <w:tcMar>
              <w:top w:w="90" w:type="dxa"/>
              <w:start w:w="100" w:type="dxa"/>
              <w:bottom w:w="90" w:type="dxa"/>
              <w:end w:w="100" w:type="dxa"/>
            </w:tcMar>
            <w:shd w:fill="F2F6FA"/>
          </w:tcPr>
          <w:p>
            <w:pPr>
              <w:spacing w:after="0" w:line="240" w:lineRule="auto"/>
              <w:jc w:val="center"/>
            </w:pPr>
            <w:r>
              <w:rPr>
                <w:color w:val="232D37"/>
                <w:sz w:val="15"/>
              </w:rPr>
              <w:t>Select vendor</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I</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5"/>
              </w:rPr>
              <w:t>A/R</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I</w:t>
            </w:r>
          </w:p>
        </w:tc>
      </w:tr>
      <w:tr>
        <w:tc>
          <w:tcPr>
            <w:tcW w:type="dxa" w:w="3096"/>
            <w:vAlign w:val="center"/>
            <w:tcMar>
              <w:top w:w="90" w:type="dxa"/>
              <w:start w:w="100" w:type="dxa"/>
              <w:bottom w:w="90" w:type="dxa"/>
              <w:end w:w="100" w:type="dxa"/>
            </w:tcMar>
          </w:tcPr>
          <w:p>
            <w:pPr>
              <w:spacing w:after="0" w:line="240" w:lineRule="auto"/>
              <w:jc w:val="center"/>
            </w:pPr>
            <w:r>
              <w:rPr>
                <w:color w:val="232D37"/>
                <w:sz w:val="15"/>
              </w:rPr>
              <w:t>Certify service/invoice</w:t>
            </w:r>
          </w:p>
        </w:tc>
        <w:tc>
          <w:tcPr>
            <w:tcW w:type="dxa" w:w="1224"/>
            <w:vAlign w:val="center"/>
            <w:tcMar>
              <w:top w:w="90" w:type="dxa"/>
              <w:start w:w="100" w:type="dxa"/>
              <w:bottom w:w="90" w:type="dxa"/>
              <w:end w:w="100" w:type="dxa"/>
            </w:tcMar>
          </w:tcPr>
          <w:p>
            <w:pPr>
              <w:spacing w:after="0" w:line="240" w:lineRule="auto"/>
              <w:jc w:val="center"/>
            </w:pPr>
            <w:r>
              <w:rPr>
                <w:color w:val="232D37"/>
                <w:sz w:val="15"/>
              </w:rPr>
              <w:t>I</w:t>
            </w:r>
          </w:p>
        </w:tc>
        <w:tc>
          <w:tcPr>
            <w:tcW w:type="dxa" w:w="1224"/>
            <w:vAlign w:val="center"/>
            <w:tcMar>
              <w:top w:w="90" w:type="dxa"/>
              <w:start w:w="100" w:type="dxa"/>
              <w:bottom w:w="90" w:type="dxa"/>
              <w:end w:w="100" w:type="dxa"/>
            </w:tcMar>
          </w:tcPr>
          <w:p>
            <w:pPr>
              <w:spacing w:after="0" w:line="240" w:lineRule="auto"/>
              <w:jc w:val="center"/>
            </w:pPr>
            <w:r>
              <w:rPr>
                <w:color w:val="232D37"/>
                <w:sz w:val="15"/>
              </w:rPr>
              <w:t>A/R</w:t>
            </w:r>
          </w:p>
        </w:tc>
        <w:tc>
          <w:tcPr>
            <w:tcW w:type="dxa" w:w="1224"/>
            <w:vAlign w:val="center"/>
            <w:tcMar>
              <w:top w:w="90" w:type="dxa"/>
              <w:start w:w="100" w:type="dxa"/>
              <w:bottom w:w="90" w:type="dxa"/>
              <w:end w:w="100" w:type="dxa"/>
            </w:tcMar>
          </w:tcPr>
          <w:p>
            <w:pPr>
              <w:spacing w:after="0" w:line="240" w:lineRule="auto"/>
              <w:jc w:val="center"/>
            </w:pPr>
            <w:r>
              <w:rPr>
                <w:color w:val="232D37"/>
                <w:sz w:val="15"/>
              </w:rPr>
              <w:t>R</w:t>
            </w:r>
          </w:p>
        </w:tc>
        <w:tc>
          <w:tcPr>
            <w:tcW w:type="dxa" w:w="1800"/>
            <w:vAlign w:val="center"/>
            <w:tcMar>
              <w:top w:w="90" w:type="dxa"/>
              <w:start w:w="100" w:type="dxa"/>
              <w:bottom w:w="90" w:type="dxa"/>
              <w:end w:w="100" w:type="dxa"/>
            </w:tcMar>
          </w:tcPr>
          <w:p>
            <w:pPr>
              <w:spacing w:after="0" w:line="240" w:lineRule="auto"/>
              <w:jc w:val="center"/>
            </w:pPr>
            <w:r>
              <w:rPr>
                <w:color w:val="232D37"/>
                <w:sz w:val="15"/>
              </w:rPr>
              <w:t>C/A</w:t>
            </w:r>
          </w:p>
        </w:tc>
        <w:tc>
          <w:tcPr>
            <w:tcW w:type="dxa" w:w="1224"/>
            <w:vAlign w:val="center"/>
            <w:tcMar>
              <w:top w:w="90" w:type="dxa"/>
              <w:start w:w="100" w:type="dxa"/>
              <w:bottom w:w="90" w:type="dxa"/>
              <w:end w:w="100" w:type="dxa"/>
            </w:tcMar>
          </w:tcPr>
          <w:p>
            <w:pPr>
              <w:spacing w:after="0" w:line="240" w:lineRule="auto"/>
              <w:jc w:val="center"/>
            </w:pPr>
            <w:r>
              <w:rPr>
                <w:color w:val="232D37"/>
                <w:sz w:val="15"/>
              </w:rPr>
              <w:t>C</w:t>
            </w:r>
          </w:p>
        </w:tc>
      </w:tr>
      <w:tr>
        <w:tc>
          <w:tcPr>
            <w:tcW w:type="dxa" w:w="3096"/>
            <w:vAlign w:val="center"/>
            <w:tcMar>
              <w:top w:w="90" w:type="dxa"/>
              <w:start w:w="100" w:type="dxa"/>
              <w:bottom w:w="90" w:type="dxa"/>
              <w:end w:w="100" w:type="dxa"/>
            </w:tcMar>
            <w:shd w:fill="F2F6FA"/>
          </w:tcPr>
          <w:p>
            <w:pPr>
              <w:spacing w:after="0" w:line="240" w:lineRule="auto"/>
              <w:jc w:val="center"/>
            </w:pPr>
            <w:r>
              <w:rPr>
                <w:color w:val="232D37"/>
                <w:sz w:val="15"/>
              </w:rPr>
              <w:t>Maintain asset data</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A</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R</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R</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C</w:t>
            </w:r>
          </w:p>
        </w:tc>
      </w:tr>
      <w:tr>
        <w:tc>
          <w:tcPr>
            <w:tcW w:type="dxa" w:w="3096"/>
            <w:vAlign w:val="center"/>
            <w:tcMar>
              <w:top w:w="90" w:type="dxa"/>
              <w:start w:w="100" w:type="dxa"/>
              <w:bottom w:w="90" w:type="dxa"/>
              <w:end w:w="100" w:type="dxa"/>
            </w:tcMar>
          </w:tcPr>
          <w:p>
            <w:pPr>
              <w:spacing w:after="0" w:line="240" w:lineRule="auto"/>
              <w:jc w:val="center"/>
            </w:pPr>
            <w:r>
              <w:rPr>
                <w:color w:val="232D37"/>
                <w:sz w:val="15"/>
              </w:rPr>
              <w:t>Budget and forecast</w:t>
            </w:r>
          </w:p>
        </w:tc>
        <w:tc>
          <w:tcPr>
            <w:tcW w:type="dxa" w:w="1224"/>
            <w:vAlign w:val="center"/>
            <w:tcMar>
              <w:top w:w="90" w:type="dxa"/>
              <w:start w:w="100" w:type="dxa"/>
              <w:bottom w:w="90" w:type="dxa"/>
              <w:end w:w="100" w:type="dxa"/>
            </w:tcMar>
          </w:tcPr>
          <w:p>
            <w:pPr>
              <w:spacing w:after="0" w:line="240" w:lineRule="auto"/>
              <w:jc w:val="center"/>
            </w:pPr>
            <w:r>
              <w:rPr>
                <w:color w:val="232D37"/>
                <w:sz w:val="15"/>
              </w:rPr>
              <w:t>A</w:t>
            </w:r>
          </w:p>
        </w:tc>
        <w:tc>
          <w:tcPr>
            <w:tcW w:type="dxa" w:w="1224"/>
            <w:vAlign w:val="center"/>
            <w:tcMar>
              <w:top w:w="90" w:type="dxa"/>
              <w:start w:w="100" w:type="dxa"/>
              <w:bottom w:w="90" w:type="dxa"/>
              <w:end w:w="100" w:type="dxa"/>
            </w:tcMar>
          </w:tcPr>
          <w:p>
            <w:pPr>
              <w:spacing w:after="0" w:line="240" w:lineRule="auto"/>
              <w:jc w:val="center"/>
            </w:pPr>
            <w:r>
              <w:rPr>
                <w:color w:val="232D37"/>
                <w:sz w:val="15"/>
              </w:rPr>
              <w:t>R</w:t>
            </w:r>
          </w:p>
        </w:tc>
        <w:tc>
          <w:tcPr>
            <w:tcW w:type="dxa" w:w="1224"/>
            <w:vAlign w:val="center"/>
            <w:tcMar>
              <w:top w:w="90" w:type="dxa"/>
              <w:start w:w="100" w:type="dxa"/>
              <w:bottom w:w="90" w:type="dxa"/>
              <w:end w:w="100" w:type="dxa"/>
            </w:tcMar>
          </w:tcPr>
          <w:p>
            <w:pPr>
              <w:spacing w:after="0" w:line="240" w:lineRule="auto"/>
              <w:jc w:val="center"/>
            </w:pPr>
            <w:r>
              <w:rPr>
                <w:color w:val="232D37"/>
                <w:sz w:val="15"/>
              </w:rPr>
              <w:t>C</w:t>
            </w:r>
          </w:p>
        </w:tc>
        <w:tc>
          <w:tcPr>
            <w:tcW w:type="dxa" w:w="1800"/>
            <w:vAlign w:val="center"/>
            <w:tcMar>
              <w:top w:w="90" w:type="dxa"/>
              <w:start w:w="100" w:type="dxa"/>
              <w:bottom w:w="90" w:type="dxa"/>
              <w:end w:w="100" w:type="dxa"/>
            </w:tcMar>
          </w:tcPr>
          <w:p>
            <w:pPr>
              <w:spacing w:after="0" w:line="240" w:lineRule="auto"/>
              <w:jc w:val="center"/>
            </w:pPr>
            <w:r>
              <w:rPr>
                <w:color w:val="232D37"/>
                <w:sz w:val="15"/>
              </w:rPr>
              <w:t>A/R</w:t>
            </w:r>
          </w:p>
        </w:tc>
        <w:tc>
          <w:tcPr>
            <w:tcW w:type="dxa" w:w="1224"/>
            <w:vAlign w:val="center"/>
            <w:tcMar>
              <w:top w:w="90" w:type="dxa"/>
              <w:start w:w="100" w:type="dxa"/>
              <w:bottom w:w="90" w:type="dxa"/>
              <w:end w:w="100" w:type="dxa"/>
            </w:tcMar>
          </w:tcPr>
          <w:p>
            <w:pPr>
              <w:spacing w:after="0" w:line="240" w:lineRule="auto"/>
              <w:jc w:val="center"/>
            </w:pPr>
            <w:r>
              <w:rPr>
                <w:color w:val="232D37"/>
                <w:sz w:val="15"/>
              </w:rPr>
              <w:t>I</w:t>
            </w:r>
          </w:p>
        </w:tc>
      </w:tr>
      <w:tr>
        <w:tc>
          <w:tcPr>
            <w:tcW w:type="dxa" w:w="3096"/>
            <w:vAlign w:val="center"/>
            <w:tcMar>
              <w:top w:w="90" w:type="dxa"/>
              <w:start w:w="100" w:type="dxa"/>
              <w:bottom w:w="90" w:type="dxa"/>
              <w:end w:w="100" w:type="dxa"/>
            </w:tcMar>
            <w:shd w:fill="F2F6FA"/>
          </w:tcPr>
          <w:p>
            <w:pPr>
              <w:spacing w:after="0" w:line="240" w:lineRule="auto"/>
              <w:jc w:val="center"/>
            </w:pPr>
            <w:r>
              <w:rPr>
                <w:color w:val="232D37"/>
                <w:sz w:val="15"/>
              </w:rPr>
              <w:t>Compliance closure</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A</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R</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R</w:t>
            </w:r>
          </w:p>
        </w:tc>
        <w:tc>
          <w:tcPr>
            <w:tcW w:type="dxa" w:w="1800"/>
            <w:vAlign w:val="center"/>
            <w:tcMar>
              <w:top w:w="90" w:type="dxa"/>
              <w:start w:w="100" w:type="dxa"/>
              <w:bottom w:w="90" w:type="dxa"/>
              <w:end w:w="100" w:type="dxa"/>
            </w:tcMar>
            <w:shd w:fill="F2F6FA"/>
          </w:tcPr>
          <w:p>
            <w:pPr>
              <w:spacing w:after="0" w:line="240" w:lineRule="auto"/>
              <w:jc w:val="center"/>
            </w:pPr>
            <w:r>
              <w:rPr>
                <w:color w:val="232D37"/>
                <w:sz w:val="15"/>
              </w:rPr>
              <w:t>C</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5"/>
              </w:rPr>
              <w:t>C</w:t>
            </w:r>
          </w:p>
        </w:tc>
      </w:tr>
    </w:tbl>
    <w:p>
      <w:pPr>
        <w:spacing w:after="40"/>
      </w:pPr>
    </w:p>
    <w:p>
      <w:pPr>
        <w:pStyle w:val="Heading2"/>
        <w:keepNext/>
      </w:pPr>
      <w:r>
        <w:t>11.4 Key integrations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Mar>
              <w:top w:w="90" w:type="dxa"/>
              <w:start w:w="100" w:type="dxa"/>
              <w:bottom w:w="90" w:type="dxa"/>
              <w:end w:w="100" w:type="dxa"/>
            </w:tcMar>
          </w:tcPr>
          <w:p>
            <w:pPr>
              <w:jc w:val="center"/>
            </w:pPr>
            <w:r>
              <w:rPr>
                <w:b/>
                <w:color w:val="FFFFFF"/>
                <w:sz w:val="16"/>
              </w:rPr>
              <w:t>System</w:t>
            </w:r>
          </w:p>
        </w:tc>
        <w:tc>
          <w:tcPr>
            <w:tcW w:type="dxa" w:w="7992"/>
            <w:shd w:fill="17365D"/>
            <w:vAlign w:val="center"/>
            <w:tcMar>
              <w:top w:w="90" w:type="dxa"/>
              <w:start w:w="100" w:type="dxa"/>
              <w:bottom w:w="90" w:type="dxa"/>
              <w:end w:w="100" w:type="dxa"/>
            </w:tcMar>
          </w:tcPr>
          <w:p>
            <w:pPr>
              <w:jc w:val="center"/>
            </w:pPr>
            <w:r>
              <w:rPr>
                <w:b/>
                <w:color w:val="FFFFFF"/>
                <w:sz w:val="16"/>
              </w:rPr>
              <w:t>Data exchange</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HRMS/Directory</w:t>
            </w:r>
          </w:p>
        </w:tc>
        <w:tc>
          <w:tcPr>
            <w:tcW w:type="dxa" w:w="7992"/>
            <w:vAlign w:val="center"/>
            <w:tcMar>
              <w:top w:w="90" w:type="dxa"/>
              <w:start w:w="100" w:type="dxa"/>
              <w:bottom w:w="90" w:type="dxa"/>
              <w:end w:w="100" w:type="dxa"/>
            </w:tcMar>
          </w:tcPr>
          <w:p>
            <w:pPr>
              <w:spacing w:after="0" w:line="240" w:lineRule="auto"/>
              <w:jc w:val="left"/>
            </w:pPr>
            <w:r>
              <w:rPr>
                <w:color w:val="232D37"/>
                <w:sz w:val="16"/>
              </w:rPr>
              <w:t>Employee, manager, department, location, status and organisation hierarchy</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Identity/SSO</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Authentication, roles, MFA and joiner/mover/leaver controls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ERP/Finance</w:t>
            </w:r>
          </w:p>
        </w:tc>
        <w:tc>
          <w:tcPr>
            <w:tcW w:type="dxa" w:w="7992"/>
            <w:vAlign w:val="center"/>
            <w:tcMar>
              <w:top w:w="90" w:type="dxa"/>
              <w:start w:w="100" w:type="dxa"/>
              <w:bottom w:w="90" w:type="dxa"/>
              <w:end w:w="100" w:type="dxa"/>
            </w:tcMar>
          </w:tcPr>
          <w:p>
            <w:pPr>
              <w:spacing w:after="0" w:line="240" w:lineRule="auto"/>
              <w:jc w:val="left"/>
            </w:pPr>
            <w:r>
              <w:rPr>
                <w:color w:val="232D37"/>
                <w:sz w:val="16"/>
              </w:rPr>
              <w:t>GL, cost centre, budget, commitments, actuals, assets, invoices, payment and tax</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Procurement</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PR, sourcing, vendor, contract, catalogue, PO and goods/service receipt</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Fixed assets</w:t>
            </w:r>
          </w:p>
        </w:tc>
        <w:tc>
          <w:tcPr>
            <w:tcW w:type="dxa" w:w="7992"/>
            <w:vAlign w:val="center"/>
            <w:tcMar>
              <w:top w:w="90" w:type="dxa"/>
              <w:start w:w="100" w:type="dxa"/>
              <w:bottom w:w="90" w:type="dxa"/>
              <w:end w:w="100" w:type="dxa"/>
            </w:tcMar>
          </w:tcPr>
          <w:p>
            <w:pPr>
              <w:spacing w:after="0" w:line="240" w:lineRule="auto"/>
              <w:jc w:val="left"/>
            </w:pPr>
            <w:r>
              <w:rPr>
                <w:color w:val="232D37"/>
                <w:sz w:val="16"/>
              </w:rPr>
              <w:t>Capital asset, depreciation, transfer, impairment and disposal</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Lease/real estate</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Property, lease, rent, escalation, deposit and notices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Email/collaboration</w:t>
            </w:r>
          </w:p>
        </w:tc>
        <w:tc>
          <w:tcPr>
            <w:tcW w:type="dxa" w:w="7992"/>
            <w:vAlign w:val="center"/>
            <w:tcMar>
              <w:top w:w="90" w:type="dxa"/>
              <w:start w:w="100" w:type="dxa"/>
              <w:bottom w:w="90" w:type="dxa"/>
              <w:end w:w="100" w:type="dxa"/>
            </w:tcMar>
          </w:tcPr>
          <w:p>
            <w:pPr>
              <w:spacing w:after="0" w:line="240" w:lineRule="auto"/>
              <w:jc w:val="left"/>
            </w:pPr>
            <w:r>
              <w:rPr>
                <w:color w:val="232D37"/>
                <w:sz w:val="16"/>
              </w:rPr>
              <w:t>Request intake, approvals, notifications, room calendars and knowledge</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BMS/IoT/SCADA</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Alarms, readings, runtime, energy, condition and control events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Access/CCTV/visitor</w:t>
            </w:r>
          </w:p>
        </w:tc>
        <w:tc>
          <w:tcPr>
            <w:tcW w:type="dxa" w:w="7992"/>
            <w:vAlign w:val="center"/>
            <w:tcMar>
              <w:top w:w="90" w:type="dxa"/>
              <w:start w:w="100" w:type="dxa"/>
              <w:bottom w:w="90" w:type="dxa"/>
              <w:end w:w="100" w:type="dxa"/>
            </w:tcMar>
          </w:tcPr>
          <w:p>
            <w:pPr>
              <w:spacing w:after="0" w:line="240" w:lineRule="auto"/>
              <w:jc w:val="left"/>
            </w:pPr>
            <w:r>
              <w:rPr>
                <w:color w:val="232D37"/>
                <w:sz w:val="16"/>
              </w:rPr>
              <w:t>Identity, access event, visitor, incident and health status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GIS/maps</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Coordinates, boundaries, route planning and nearby support resources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Travel/transport</w:t>
            </w:r>
          </w:p>
        </w:tc>
        <w:tc>
          <w:tcPr>
            <w:tcW w:type="dxa" w:w="7992"/>
            <w:vAlign w:val="center"/>
            <w:tcMar>
              <w:top w:w="90" w:type="dxa"/>
              <w:start w:w="100" w:type="dxa"/>
              <w:bottom w:w="90" w:type="dxa"/>
              <w:end w:w="100" w:type="dxa"/>
            </w:tcMar>
          </w:tcPr>
          <w:p>
            <w:pPr>
              <w:spacing w:after="0" w:line="240" w:lineRule="auto"/>
              <w:jc w:val="left"/>
            </w:pPr>
            <w:r>
              <w:rPr>
                <w:color w:val="232D37"/>
                <w:sz w:val="16"/>
              </w:rPr>
              <w:t>Trip, route, roster, attendance and billing</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Document/e-sign</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Controlled documents, approvals, signatures and retention</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Data platform/BI</w:t>
            </w:r>
          </w:p>
        </w:tc>
        <w:tc>
          <w:tcPr>
            <w:tcW w:type="dxa" w:w="7992"/>
            <w:vAlign w:val="center"/>
            <w:tcMar>
              <w:top w:w="90" w:type="dxa"/>
              <w:start w:w="100" w:type="dxa"/>
              <w:bottom w:w="90" w:type="dxa"/>
              <w:end w:w="100" w:type="dxa"/>
            </w:tcMar>
          </w:tcPr>
          <w:p>
            <w:pPr>
              <w:spacing w:after="0" w:line="240" w:lineRule="auto"/>
              <w:jc w:val="left"/>
            </w:pPr>
            <w:r>
              <w:rPr>
                <w:color w:val="232D37"/>
                <w:sz w:val="16"/>
              </w:rPr>
              <w:t>Curated metrics, forecasting, benchmarking and executive dashboards</w:t>
            </w:r>
          </w:p>
        </w:tc>
      </w:tr>
    </w:tbl>
    <w:p>
      <w:pPr>
        <w:spacing w:after="40"/>
      </w:pPr>
    </w:p>
    <w:p>
      <w:pPr>
        <w:pStyle w:val="Heading2"/>
        <w:keepNext/>
      </w:pPr>
      <w:r>
        <w:t>11.5 Dashboards and KPIs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76"/>
            <w:shd w:fill="17365D"/>
            <w:vAlign w:val="center"/>
            <w:tcMar>
              <w:top w:w="90" w:type="dxa"/>
              <w:start w:w="100" w:type="dxa"/>
              <w:bottom w:w="90" w:type="dxa"/>
              <w:end w:w="100" w:type="dxa"/>
            </w:tcMar>
          </w:tcPr>
          <w:p>
            <w:pPr>
              <w:jc w:val="center"/>
            </w:pPr>
            <w:r>
              <w:rPr>
                <w:b/>
                <w:color w:val="FFFFFF"/>
                <w:sz w:val="16"/>
              </w:rPr>
              <w:t>Dashboard</w:t>
            </w:r>
          </w:p>
        </w:tc>
        <w:tc>
          <w:tcPr>
            <w:tcW w:type="dxa" w:w="7992"/>
            <w:shd w:fill="17365D"/>
            <w:vAlign w:val="center"/>
            <w:tcMar>
              <w:top w:w="90" w:type="dxa"/>
              <w:start w:w="100" w:type="dxa"/>
              <w:bottom w:w="90" w:type="dxa"/>
              <w:end w:w="100" w:type="dxa"/>
            </w:tcMar>
          </w:tcPr>
          <w:p>
            <w:pPr>
              <w:jc w:val="center"/>
            </w:pPr>
            <w:r>
              <w:rPr>
                <w:b/>
                <w:color w:val="FFFFFF"/>
                <w:sz w:val="16"/>
              </w:rPr>
              <w:t>Measures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Enterprise portfolio</w:t>
            </w:r>
          </w:p>
        </w:tc>
        <w:tc>
          <w:tcPr>
            <w:tcW w:type="dxa" w:w="7992"/>
            <w:vAlign w:val="center"/>
            <w:tcMar>
              <w:top w:w="90" w:type="dxa"/>
              <w:start w:w="100" w:type="dxa"/>
              <w:bottom w:w="90" w:type="dxa"/>
              <w:end w:w="100" w:type="dxa"/>
            </w:tcMar>
          </w:tcPr>
          <w:p>
            <w:pPr>
              <w:spacing w:after="0" w:line="240" w:lineRule="auto"/>
              <w:jc w:val="left"/>
            </w:pPr>
            <w:r>
              <w:rPr>
                <w:color w:val="232D37"/>
                <w:sz w:val="16"/>
              </w:rPr>
              <w:t>Locations, area, ownership, capacity, criticality, lease events and portfolio cost</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Operations control tower</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Open P1/P2, ageing, SLA risk, outages, vendor dispatch and major incidents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Asset reliability</w:t>
            </w:r>
          </w:p>
        </w:tc>
        <w:tc>
          <w:tcPr>
            <w:tcW w:type="dxa" w:w="7992"/>
            <w:vAlign w:val="center"/>
            <w:tcMar>
              <w:top w:w="90" w:type="dxa"/>
              <w:start w:w="100" w:type="dxa"/>
              <w:bottom w:w="90" w:type="dxa"/>
              <w:end w:w="100" w:type="dxa"/>
            </w:tcMar>
          </w:tcPr>
          <w:p>
            <w:pPr>
              <w:spacing w:after="0" w:line="240" w:lineRule="auto"/>
              <w:jc w:val="left"/>
            </w:pPr>
            <w:r>
              <w:rPr>
                <w:color w:val="232D37"/>
                <w:sz w:val="16"/>
              </w:rPr>
              <w:t>Uptime, MTBF, MTTR, repeat failure, PM compliance, health and replacement risk</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Budget and spend</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Budget, commitment, actual, accrual, forecast, variance, savings and leakage</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Vendor performance</w:t>
            </w:r>
          </w:p>
        </w:tc>
        <w:tc>
          <w:tcPr>
            <w:tcW w:type="dxa" w:w="7992"/>
            <w:vAlign w:val="center"/>
            <w:tcMar>
              <w:top w:w="90" w:type="dxa"/>
              <w:start w:w="100" w:type="dxa"/>
              <w:bottom w:w="90" w:type="dxa"/>
              <w:end w:w="100" w:type="dxa"/>
            </w:tcMar>
          </w:tcPr>
          <w:p>
            <w:pPr>
              <w:spacing w:after="0" w:line="240" w:lineRule="auto"/>
              <w:jc w:val="left"/>
            </w:pPr>
            <w:r>
              <w:rPr>
                <w:color w:val="232D37"/>
                <w:sz w:val="16"/>
              </w:rPr>
              <w:t>SLA, quality, attendance, audit, invoice accuracy, safety and risk</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Inventory</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Stock value, days on hand, stock-out, excess, expiry, variance and consumption</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Compliance</w:t>
            </w:r>
          </w:p>
        </w:tc>
        <w:tc>
          <w:tcPr>
            <w:tcW w:type="dxa" w:w="7992"/>
            <w:vAlign w:val="center"/>
            <w:tcMar>
              <w:top w:w="90" w:type="dxa"/>
              <w:start w:w="100" w:type="dxa"/>
              <w:bottom w:w="90" w:type="dxa"/>
              <w:end w:w="100" w:type="dxa"/>
            </w:tcMar>
          </w:tcPr>
          <w:p>
            <w:pPr>
              <w:spacing w:after="0" w:line="240" w:lineRule="auto"/>
              <w:jc w:val="left"/>
            </w:pPr>
            <w:r>
              <w:rPr>
                <w:color w:val="232D37"/>
                <w:sz w:val="16"/>
              </w:rPr>
              <w:t>Due/overdue licences, audit findings, risk, corrective action and evidence</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Workplace experience</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Requests, satisfaction, complaints, room/seat utilisation, food and amenity metrics</w:t>
            </w:r>
          </w:p>
        </w:tc>
      </w:tr>
      <w:tr>
        <w:tc>
          <w:tcPr>
            <w:tcW w:type="dxa" w:w="2376"/>
            <w:vAlign w:val="center"/>
            <w:tcMar>
              <w:top w:w="90" w:type="dxa"/>
              <w:start w:w="100" w:type="dxa"/>
              <w:bottom w:w="90" w:type="dxa"/>
              <w:end w:w="100" w:type="dxa"/>
            </w:tcMar>
          </w:tcPr>
          <w:p>
            <w:pPr>
              <w:spacing w:after="0" w:line="240" w:lineRule="auto"/>
              <w:jc w:val="center"/>
            </w:pPr>
            <w:r>
              <w:rPr>
                <w:color w:val="232D37"/>
                <w:sz w:val="16"/>
              </w:rPr>
              <w:t>ESG</w:t>
            </w:r>
          </w:p>
        </w:tc>
        <w:tc>
          <w:tcPr>
            <w:tcW w:type="dxa" w:w="7992"/>
            <w:vAlign w:val="center"/>
            <w:tcMar>
              <w:top w:w="90" w:type="dxa"/>
              <w:start w:w="100" w:type="dxa"/>
              <w:bottom w:w="90" w:type="dxa"/>
              <w:end w:w="100" w:type="dxa"/>
            </w:tcMar>
          </w:tcPr>
          <w:p>
            <w:pPr>
              <w:spacing w:after="0" w:line="240" w:lineRule="auto"/>
              <w:jc w:val="left"/>
            </w:pPr>
            <w:r>
              <w:rPr>
                <w:color w:val="232D37"/>
                <w:sz w:val="16"/>
              </w:rPr>
              <w:t>Energy, water, waste, emissions, intensity, targets and project benefits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6"/>
              </w:rPr>
              <w:t>Branch benchmark</w:t>
            </w:r>
          </w:p>
        </w:tc>
        <w:tc>
          <w:tcPr>
            <w:tcW w:type="dxa" w:w="7992"/>
            <w:vAlign w:val="center"/>
            <w:tcMar>
              <w:top w:w="90" w:type="dxa"/>
              <w:start w:w="100" w:type="dxa"/>
              <w:bottom w:w="90" w:type="dxa"/>
              <w:end w:w="100" w:type="dxa"/>
            </w:tcMar>
            <w:shd w:fill="F2F6FA"/>
          </w:tcPr>
          <w:p>
            <w:pPr>
              <w:spacing w:after="0" w:line="240" w:lineRule="auto"/>
              <w:jc w:val="left"/>
            </w:pPr>
            <w:r>
              <w:rPr>
                <w:color w:val="232D37"/>
                <w:sz w:val="16"/>
              </w:rPr>
              <w:t>Cost per branch/sq. ft./employee/transaction, service quality and peer percentile</w:t>
            </w:r>
          </w:p>
        </w:tc>
      </w:tr>
    </w:tbl>
    <w:p>
      <w:pPr>
        <w:spacing w:after="40"/>
      </w:pPr>
    </w:p>
    <w:p>
      <w:pPr>
        <w:pStyle w:val="Heading2"/>
        <w:keepNext/>
      </w:pPr>
      <w:r>
        <w:t>11.6 AI and automation opportunities</w:t>
      </w:r>
    </w:p>
    <w:p>
      <w:pPr>
        <w:pStyle w:val="ListBullet"/>
      </w:pPr>
      <w:r>
        <w:t>Interpret employee emails, identify intent and location, retrieve policy and ask all missing questions together.</w:t>
      </w:r>
    </w:p>
    <w:p>
      <w:pPr>
        <w:pStyle w:val="ListBullet"/>
      </w:pPr>
      <w:r>
        <w:t>Recommend service category, priority, entitlement, approver, fulfilment group and expected SLA.</w:t>
      </w:r>
    </w:p>
    <w:p>
      <w:pPr>
        <w:pStyle w:val="ListBullet"/>
      </w:pPr>
      <w:r>
        <w:t>Predict asset failure, abnormal energy/water use, stock-out, budget overrun and contract renewal risk.</w:t>
      </w:r>
    </w:p>
    <w:p>
      <w:pPr>
        <w:pStyle w:val="ListBullet"/>
      </w:pPr>
      <w:r>
        <w:t>Identify duplicate invoices, unusual rates, split purchases, missing evidence and potential contract leakage.</w:t>
      </w:r>
    </w:p>
    <w:p>
      <w:pPr>
        <w:pStyle w:val="ListBullet"/>
      </w:pPr>
      <w:r>
        <w:t>Summarise incidents, vendor performance, audit findings and recurring root causes for management.</w:t>
      </w:r>
    </w:p>
    <w:p>
      <w:pPr>
        <w:pStyle w:val="ListBullet"/>
      </w:pPr>
      <w:r>
        <w:t>Generate draft scopes, comparison sheets, PM plans, inspection checklists and branch readiness packs from approved templates.</w:t>
      </w:r>
    </w:p>
    <w:p>
      <w:pPr>
        <w:pStyle w:val="ListBullet"/>
      </w:pPr>
      <w:r>
        <w:t>Use computer vision only with approved privacy and security controls for meter/asset/photo evidence validation.</w:t>
      </w:r>
    </w:p>
    <w:p>
      <w:pPr>
        <w:pStyle w:val="ListBullet"/>
      </w:pPr>
      <w:r>
        <w:t>Keep a human approval for safety, financial commitment, vendor award, legal deviation and disposal decisions.</w:t>
      </w:r>
    </w:p>
    <w:p>
      <w:pPr>
        <w:pStyle w:val="Heading1"/>
        <w:keepNext/>
      </w:pPr>
      <w:r>
        <w:t>12. Required Data Collection Workbook Structure</w:t>
      </w:r>
    </w:p>
    <w:p>
      <w:pPr>
        <w:spacing w:after="120" w:line="269" w:lineRule="auto"/>
      </w:pPr>
      <w:r>
        <w:t>For implementation, the organisation should collect data in controlled templates. Each template requires a unique key, data owner, field definition, allowed values, validation rule, source system, refresh frequency and approval status.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76"/>
            <w:shd w:fill="17365D"/>
            <w:vAlign w:val="center"/>
            <w:tcMar>
              <w:top w:w="90" w:type="dxa"/>
              <w:start w:w="100" w:type="dxa"/>
              <w:bottom w:w="90" w:type="dxa"/>
              <w:end w:w="100" w:type="dxa"/>
            </w:tcMar>
          </w:tcPr>
          <w:p>
            <w:pPr>
              <w:jc w:val="center"/>
            </w:pPr>
            <w:r>
              <w:rPr>
                <w:b/>
                <w:color w:val="FFFFFF"/>
                <w:sz w:val="15"/>
              </w:rPr>
              <w:t>Workbook / tab</w:t>
            </w:r>
          </w:p>
        </w:tc>
        <w:tc>
          <w:tcPr>
            <w:tcW w:type="dxa" w:w="6552"/>
            <w:shd w:fill="17365D"/>
            <w:vAlign w:val="center"/>
            <w:tcMar>
              <w:top w:w="90" w:type="dxa"/>
              <w:start w:w="100" w:type="dxa"/>
              <w:bottom w:w="90" w:type="dxa"/>
              <w:end w:w="100" w:type="dxa"/>
            </w:tcMar>
          </w:tcPr>
          <w:p>
            <w:pPr>
              <w:jc w:val="center"/>
            </w:pPr>
            <w:r>
              <w:rPr>
                <w:b/>
                <w:color w:val="FFFFFF"/>
                <w:sz w:val="15"/>
              </w:rPr>
              <w:t>Key contents</w:t>
            </w:r>
          </w:p>
        </w:tc>
        <w:tc>
          <w:tcPr>
            <w:tcW w:type="dxa" w:w="2088"/>
            <w:shd w:fill="17365D"/>
            <w:vAlign w:val="center"/>
            <w:tcMar>
              <w:top w:w="90" w:type="dxa"/>
              <w:start w:w="100" w:type="dxa"/>
              <w:bottom w:w="90" w:type="dxa"/>
              <w:end w:w="100" w:type="dxa"/>
            </w:tcMar>
          </w:tcPr>
          <w:p>
            <w:pPr>
              <w:jc w:val="center"/>
            </w:pPr>
            <w:r>
              <w:rPr>
                <w:b/>
                <w:color w:val="FFFFFF"/>
                <w:sz w:val="15"/>
              </w:rPr>
              <w:t>Primary owner</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Organisation hierarchy</w:t>
            </w:r>
          </w:p>
        </w:tc>
        <w:tc>
          <w:tcPr>
            <w:tcW w:type="dxa" w:w="6552"/>
            <w:vAlign w:val="center"/>
            <w:tcMar>
              <w:top w:w="90" w:type="dxa"/>
              <w:start w:w="100" w:type="dxa"/>
              <w:bottom w:w="90" w:type="dxa"/>
              <w:end w:w="100" w:type="dxa"/>
            </w:tcMar>
          </w:tcPr>
          <w:p>
            <w:pPr>
              <w:spacing w:after="0" w:line="240" w:lineRule="auto"/>
              <w:jc w:val="left"/>
            </w:pPr>
            <w:r>
              <w:rPr>
                <w:color w:val="232D37"/>
                <w:sz w:val="15"/>
              </w:rPr>
              <w:t>Entities, business units, zones, regions, clusters, cost centres</w:t>
            </w:r>
          </w:p>
        </w:tc>
        <w:tc>
          <w:tcPr>
            <w:tcW w:type="dxa" w:w="2088"/>
            <w:vAlign w:val="center"/>
            <w:tcMar>
              <w:top w:w="90" w:type="dxa"/>
              <w:start w:w="100" w:type="dxa"/>
              <w:bottom w:w="90" w:type="dxa"/>
              <w:end w:w="100" w:type="dxa"/>
            </w:tcMar>
          </w:tcPr>
          <w:p>
            <w:pPr>
              <w:spacing w:after="0" w:line="240" w:lineRule="auto"/>
              <w:jc w:val="left"/>
            </w:pPr>
            <w:r>
              <w:rPr>
                <w:color w:val="232D37"/>
                <w:sz w:val="15"/>
              </w:rPr>
              <w:t>HR/Finance/Corporate Admin</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Location register</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Identity, type, address, geo, ownership, criticality, contacts</w:t>
            </w:r>
          </w:p>
        </w:tc>
        <w:tc>
          <w:tcPr>
            <w:tcW w:type="dxa" w:w="2088"/>
            <w:vAlign w:val="center"/>
            <w:tcMar>
              <w:top w:w="90" w:type="dxa"/>
              <w:start w:w="100" w:type="dxa"/>
              <w:bottom w:w="90" w:type="dxa"/>
              <w:end w:w="100" w:type="dxa"/>
            </w:tcMar>
            <w:shd w:fill="F2F6FA"/>
          </w:tcPr>
          <w:p>
            <w:pPr>
              <w:spacing w:after="0" w:line="240" w:lineRule="auto"/>
              <w:jc w:val="left"/>
            </w:pPr>
            <w:r>
              <w:rPr>
                <w:color w:val="232D37"/>
                <w:sz w:val="15"/>
              </w:rPr>
              <w:t>Real Estate/Facilities</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Building and space</w:t>
            </w:r>
          </w:p>
        </w:tc>
        <w:tc>
          <w:tcPr>
            <w:tcW w:type="dxa" w:w="6552"/>
            <w:vAlign w:val="center"/>
            <w:tcMar>
              <w:top w:w="90" w:type="dxa"/>
              <w:start w:w="100" w:type="dxa"/>
              <w:bottom w:w="90" w:type="dxa"/>
              <w:end w:w="100" w:type="dxa"/>
            </w:tcMar>
          </w:tcPr>
          <w:p>
            <w:pPr>
              <w:spacing w:after="0" w:line="240" w:lineRule="auto"/>
              <w:jc w:val="left"/>
            </w:pPr>
            <w:r>
              <w:rPr>
                <w:color w:val="232D37"/>
                <w:sz w:val="15"/>
              </w:rPr>
              <w:t>Building, floor, zone, room, area, capacity and use</w:t>
            </w:r>
          </w:p>
        </w:tc>
        <w:tc>
          <w:tcPr>
            <w:tcW w:type="dxa" w:w="2088"/>
            <w:vAlign w:val="center"/>
            <w:tcMar>
              <w:top w:w="90" w:type="dxa"/>
              <w:start w:w="100" w:type="dxa"/>
              <w:bottom w:w="90" w:type="dxa"/>
              <w:end w:w="100" w:type="dxa"/>
            </w:tcMar>
          </w:tcPr>
          <w:p>
            <w:pPr>
              <w:spacing w:after="0" w:line="240" w:lineRule="auto"/>
              <w:jc w:val="left"/>
            </w:pPr>
            <w:r>
              <w:rPr>
                <w:color w:val="232D37"/>
                <w:sz w:val="15"/>
              </w:rPr>
              <w:t>Workplace/Projects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Property and lease</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Landlord, lease, rent, escalation, deposit and notices</w:t>
            </w:r>
          </w:p>
        </w:tc>
        <w:tc>
          <w:tcPr>
            <w:tcW w:type="dxa" w:w="2088"/>
            <w:vAlign w:val="center"/>
            <w:tcMar>
              <w:top w:w="90" w:type="dxa"/>
              <w:start w:w="100" w:type="dxa"/>
              <w:bottom w:w="90" w:type="dxa"/>
              <w:end w:w="100" w:type="dxa"/>
            </w:tcMar>
            <w:shd w:fill="F2F6FA"/>
          </w:tcPr>
          <w:p>
            <w:pPr>
              <w:spacing w:after="0" w:line="240" w:lineRule="auto"/>
              <w:jc w:val="left"/>
            </w:pPr>
            <w:r>
              <w:rPr>
                <w:color w:val="232D37"/>
                <w:sz w:val="15"/>
              </w:rPr>
              <w:t>Real Estate/Legal/Finance</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Infrastructure systems</w:t>
            </w:r>
          </w:p>
        </w:tc>
        <w:tc>
          <w:tcPr>
            <w:tcW w:type="dxa" w:w="6552"/>
            <w:vAlign w:val="center"/>
            <w:tcMar>
              <w:top w:w="90" w:type="dxa"/>
              <w:start w:w="100" w:type="dxa"/>
              <w:bottom w:w="90" w:type="dxa"/>
              <w:end w:w="100" w:type="dxa"/>
            </w:tcMar>
          </w:tcPr>
          <w:p>
            <w:pPr>
              <w:spacing w:after="0" w:line="240" w:lineRule="auto"/>
              <w:jc w:val="left"/>
            </w:pPr>
            <w:r>
              <w:rPr>
                <w:color w:val="232D37"/>
                <w:sz w:val="15"/>
              </w:rPr>
              <w:t>System type, capacity, redundancy, condition and documents</w:t>
            </w:r>
          </w:p>
        </w:tc>
        <w:tc>
          <w:tcPr>
            <w:tcW w:type="dxa" w:w="2088"/>
            <w:vAlign w:val="center"/>
            <w:tcMar>
              <w:top w:w="90" w:type="dxa"/>
              <w:start w:w="100" w:type="dxa"/>
              <w:bottom w:w="90" w:type="dxa"/>
              <w:end w:w="100" w:type="dxa"/>
            </w:tcMar>
          </w:tcPr>
          <w:p>
            <w:pPr>
              <w:spacing w:after="0" w:line="240" w:lineRule="auto"/>
              <w:jc w:val="center"/>
            </w:pPr>
            <w:r>
              <w:rPr>
                <w:color w:val="232D37"/>
                <w:sz w:val="15"/>
              </w:rPr>
              <w:t>Engineering</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Asset register</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Tag, serial, location, cost, warranty, AMC, condition and custodian</w:t>
            </w:r>
          </w:p>
        </w:tc>
        <w:tc>
          <w:tcPr>
            <w:tcW w:type="dxa" w:w="2088"/>
            <w:vAlign w:val="center"/>
            <w:tcMar>
              <w:top w:w="90" w:type="dxa"/>
              <w:start w:w="100" w:type="dxa"/>
              <w:bottom w:w="90" w:type="dxa"/>
              <w:end w:w="100" w:type="dxa"/>
            </w:tcMar>
            <w:shd w:fill="F2F6FA"/>
          </w:tcPr>
          <w:p>
            <w:pPr>
              <w:spacing w:after="0" w:line="240" w:lineRule="auto"/>
              <w:jc w:val="left"/>
            </w:pPr>
            <w:r>
              <w:rPr>
                <w:color w:val="232D37"/>
                <w:sz w:val="15"/>
              </w:rPr>
              <w:t>Asset/Engineering/Finance</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Service catalogue</w:t>
            </w:r>
          </w:p>
        </w:tc>
        <w:tc>
          <w:tcPr>
            <w:tcW w:type="dxa" w:w="6552"/>
            <w:vAlign w:val="center"/>
            <w:tcMar>
              <w:top w:w="90" w:type="dxa"/>
              <w:start w:w="100" w:type="dxa"/>
              <w:bottom w:w="90" w:type="dxa"/>
              <w:end w:w="100" w:type="dxa"/>
            </w:tcMar>
          </w:tcPr>
          <w:p>
            <w:pPr>
              <w:spacing w:after="0" w:line="240" w:lineRule="auto"/>
              <w:jc w:val="left"/>
            </w:pPr>
            <w:r>
              <w:rPr>
                <w:color w:val="232D37"/>
                <w:sz w:val="15"/>
              </w:rPr>
              <w:t>Service, SLA, workflow, vendor, rate and evidence</w:t>
            </w:r>
          </w:p>
        </w:tc>
        <w:tc>
          <w:tcPr>
            <w:tcW w:type="dxa" w:w="2088"/>
            <w:vAlign w:val="center"/>
            <w:tcMar>
              <w:top w:w="90" w:type="dxa"/>
              <w:start w:w="100" w:type="dxa"/>
              <w:bottom w:w="90" w:type="dxa"/>
              <w:end w:w="100" w:type="dxa"/>
            </w:tcMar>
          </w:tcPr>
          <w:p>
            <w:pPr>
              <w:spacing w:after="0" w:line="240" w:lineRule="auto"/>
              <w:jc w:val="left"/>
            </w:pPr>
            <w:r>
              <w:rPr>
                <w:color w:val="232D37"/>
                <w:sz w:val="15"/>
              </w:rPr>
              <w:t>Facilities/Service Desk</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Vendor register</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Identity, capability, coverage, compliance, risk and contacts</w:t>
            </w:r>
          </w:p>
        </w:tc>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Procurement</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Contract register</w:t>
            </w:r>
          </w:p>
        </w:tc>
        <w:tc>
          <w:tcPr>
            <w:tcW w:type="dxa" w:w="6552"/>
            <w:vAlign w:val="center"/>
            <w:tcMar>
              <w:top w:w="90" w:type="dxa"/>
              <w:start w:w="100" w:type="dxa"/>
              <w:bottom w:w="90" w:type="dxa"/>
              <w:end w:w="100" w:type="dxa"/>
            </w:tcMar>
          </w:tcPr>
          <w:p>
            <w:pPr>
              <w:spacing w:after="0" w:line="240" w:lineRule="auto"/>
              <w:jc w:val="left"/>
            </w:pPr>
            <w:r>
              <w:rPr>
                <w:color w:val="232D37"/>
                <w:sz w:val="15"/>
              </w:rPr>
              <w:t>Scope, sites, assets, rates, SLA, dates, obligations and securities</w:t>
            </w:r>
          </w:p>
        </w:tc>
        <w:tc>
          <w:tcPr>
            <w:tcW w:type="dxa" w:w="2088"/>
            <w:vAlign w:val="center"/>
            <w:tcMar>
              <w:top w:w="90" w:type="dxa"/>
              <w:start w:w="100" w:type="dxa"/>
              <w:bottom w:w="90" w:type="dxa"/>
              <w:end w:w="100" w:type="dxa"/>
            </w:tcMar>
          </w:tcPr>
          <w:p>
            <w:pPr>
              <w:spacing w:after="0" w:line="240" w:lineRule="auto"/>
              <w:jc w:val="center"/>
            </w:pPr>
            <w:r>
              <w:rPr>
                <w:color w:val="232D37"/>
                <w:sz w:val="15"/>
              </w:rPr>
              <w:t>Procurement/Legal</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Budget and GL map</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Year, cost centre, GL, location, service, budget and owner</w:t>
            </w:r>
          </w:p>
        </w:tc>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Finance</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Inventory item master</w:t>
            </w:r>
          </w:p>
        </w:tc>
        <w:tc>
          <w:tcPr>
            <w:tcW w:type="dxa" w:w="6552"/>
            <w:vAlign w:val="center"/>
            <w:tcMar>
              <w:top w:w="90" w:type="dxa"/>
              <w:start w:w="100" w:type="dxa"/>
              <w:bottom w:w="90" w:type="dxa"/>
              <w:end w:w="100" w:type="dxa"/>
            </w:tcMar>
          </w:tcPr>
          <w:p>
            <w:pPr>
              <w:spacing w:after="0" w:line="240" w:lineRule="auto"/>
              <w:jc w:val="left"/>
            </w:pPr>
            <w:r>
              <w:rPr>
                <w:color w:val="232D37"/>
                <w:sz w:val="15"/>
              </w:rPr>
              <w:t>Item, UOM, pack, rate, entitlement, min/max and storage</w:t>
            </w:r>
          </w:p>
        </w:tc>
        <w:tc>
          <w:tcPr>
            <w:tcW w:type="dxa" w:w="2088"/>
            <w:vAlign w:val="center"/>
            <w:tcMar>
              <w:top w:w="90" w:type="dxa"/>
              <w:start w:w="100" w:type="dxa"/>
              <w:bottom w:w="90" w:type="dxa"/>
              <w:end w:w="100" w:type="dxa"/>
            </w:tcMar>
          </w:tcPr>
          <w:p>
            <w:pPr>
              <w:spacing w:after="0" w:line="240" w:lineRule="auto"/>
              <w:jc w:val="left"/>
            </w:pPr>
            <w:r>
              <w:rPr>
                <w:color w:val="232D37"/>
                <w:sz w:val="15"/>
              </w:rPr>
              <w:t>Administration/Stores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Stock opening</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Location, bin, item, quantity, batch, expiry and value</w:t>
            </w:r>
          </w:p>
        </w:tc>
        <w:tc>
          <w:tcPr>
            <w:tcW w:type="dxa" w:w="2088"/>
            <w:vAlign w:val="center"/>
            <w:tcMar>
              <w:top w:w="90" w:type="dxa"/>
              <w:start w:w="100" w:type="dxa"/>
              <w:bottom w:w="90" w:type="dxa"/>
              <w:end w:w="100" w:type="dxa"/>
            </w:tcMar>
            <w:shd w:fill="F2F6FA"/>
          </w:tcPr>
          <w:p>
            <w:pPr>
              <w:spacing w:after="0" w:line="240" w:lineRule="auto"/>
              <w:jc w:val="center"/>
            </w:pPr>
            <w:r>
              <w:rPr>
                <w:color w:val="232D37"/>
                <w:sz w:val="15"/>
              </w:rPr>
              <w:t>Stores/Finance</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PM plan</w:t>
            </w:r>
          </w:p>
        </w:tc>
        <w:tc>
          <w:tcPr>
            <w:tcW w:type="dxa" w:w="6552"/>
            <w:vAlign w:val="center"/>
            <w:tcMar>
              <w:top w:w="90" w:type="dxa"/>
              <w:start w:w="100" w:type="dxa"/>
              <w:bottom w:w="90" w:type="dxa"/>
              <w:end w:w="100" w:type="dxa"/>
            </w:tcMar>
          </w:tcPr>
          <w:p>
            <w:pPr>
              <w:spacing w:after="0" w:line="240" w:lineRule="auto"/>
              <w:jc w:val="left"/>
            </w:pPr>
            <w:r>
              <w:rPr>
                <w:color w:val="232D37"/>
                <w:sz w:val="15"/>
              </w:rPr>
              <w:t>Asset/system, job plan, frequency, vendor and next due</w:t>
            </w:r>
          </w:p>
        </w:tc>
        <w:tc>
          <w:tcPr>
            <w:tcW w:type="dxa" w:w="2088"/>
            <w:vAlign w:val="center"/>
            <w:tcMar>
              <w:top w:w="90" w:type="dxa"/>
              <w:start w:w="100" w:type="dxa"/>
              <w:bottom w:w="90" w:type="dxa"/>
              <w:end w:w="100" w:type="dxa"/>
            </w:tcMar>
          </w:tcPr>
          <w:p>
            <w:pPr>
              <w:spacing w:after="0" w:line="240" w:lineRule="auto"/>
              <w:jc w:val="center"/>
            </w:pPr>
            <w:r>
              <w:rPr>
                <w:color w:val="232D37"/>
                <w:sz w:val="15"/>
              </w:rPr>
              <w:t>Engineering</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Compliance register</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Requirement, applicability, certificate, owner and due date</w:t>
            </w:r>
          </w:p>
        </w:tc>
        <w:tc>
          <w:tcPr>
            <w:tcW w:type="dxa" w:w="2088"/>
            <w:vAlign w:val="center"/>
            <w:tcMar>
              <w:top w:w="90" w:type="dxa"/>
              <w:start w:w="100" w:type="dxa"/>
              <w:bottom w:w="90" w:type="dxa"/>
              <w:end w:w="100" w:type="dxa"/>
            </w:tcMar>
            <w:shd w:fill="F2F6FA"/>
          </w:tcPr>
          <w:p>
            <w:pPr>
              <w:spacing w:after="0" w:line="240" w:lineRule="auto"/>
              <w:jc w:val="left"/>
            </w:pPr>
            <w:r>
              <w:rPr>
                <w:color w:val="232D37"/>
                <w:sz w:val="15"/>
              </w:rPr>
              <w:t>Risk/Safety/Facilities</w:t>
            </w:r>
          </w:p>
        </w:tc>
      </w:tr>
      <w:tr>
        <w:tc>
          <w:tcPr>
            <w:tcW w:type="dxa" w:w="2376"/>
            <w:vAlign w:val="center"/>
            <w:tcMar>
              <w:top w:w="90" w:type="dxa"/>
              <w:start w:w="100" w:type="dxa"/>
              <w:bottom w:w="90" w:type="dxa"/>
              <w:end w:w="100" w:type="dxa"/>
            </w:tcMar>
          </w:tcPr>
          <w:p>
            <w:pPr>
              <w:spacing w:after="0" w:line="240" w:lineRule="auto"/>
              <w:jc w:val="center"/>
            </w:pPr>
            <w:r>
              <w:rPr>
                <w:color w:val="232D37"/>
                <w:sz w:val="15"/>
              </w:rPr>
              <w:t>User and role matrix</w:t>
            </w:r>
          </w:p>
        </w:tc>
        <w:tc>
          <w:tcPr>
            <w:tcW w:type="dxa" w:w="6552"/>
            <w:vAlign w:val="center"/>
            <w:tcMar>
              <w:top w:w="90" w:type="dxa"/>
              <w:start w:w="100" w:type="dxa"/>
              <w:bottom w:w="90" w:type="dxa"/>
              <w:end w:w="100" w:type="dxa"/>
            </w:tcMar>
          </w:tcPr>
          <w:p>
            <w:pPr>
              <w:spacing w:after="0" w:line="240" w:lineRule="auto"/>
              <w:jc w:val="left"/>
            </w:pPr>
            <w:r>
              <w:rPr>
                <w:color w:val="232D37"/>
                <w:sz w:val="15"/>
              </w:rPr>
              <w:t>User, role, geography, entity, approval limit and delegation</w:t>
            </w:r>
          </w:p>
        </w:tc>
        <w:tc>
          <w:tcPr>
            <w:tcW w:type="dxa" w:w="2088"/>
            <w:vAlign w:val="center"/>
            <w:tcMar>
              <w:top w:w="90" w:type="dxa"/>
              <w:start w:w="100" w:type="dxa"/>
              <w:bottom w:w="90" w:type="dxa"/>
              <w:end w:w="100" w:type="dxa"/>
            </w:tcMar>
          </w:tcPr>
          <w:p>
            <w:pPr>
              <w:spacing w:after="0" w:line="240" w:lineRule="auto"/>
              <w:jc w:val="left"/>
            </w:pPr>
            <w:r>
              <w:rPr>
                <w:color w:val="232D37"/>
                <w:sz w:val="15"/>
              </w:rPr>
              <w:t>HR/IT/Process owners</w:t>
            </w:r>
          </w:p>
        </w:tc>
      </w:tr>
      <w:tr>
        <w:tc>
          <w:tcPr>
            <w:tcW w:type="dxa" w:w="2376"/>
            <w:vAlign w:val="center"/>
            <w:tcMar>
              <w:top w:w="90" w:type="dxa"/>
              <w:start w:w="100" w:type="dxa"/>
              <w:bottom w:w="90" w:type="dxa"/>
              <w:end w:w="100" w:type="dxa"/>
            </w:tcMar>
            <w:shd w:fill="F2F6FA"/>
          </w:tcPr>
          <w:p>
            <w:pPr>
              <w:spacing w:after="0" w:line="240" w:lineRule="auto"/>
              <w:jc w:val="center"/>
            </w:pPr>
            <w:r>
              <w:rPr>
                <w:color w:val="232D37"/>
                <w:sz w:val="15"/>
              </w:rPr>
              <w:t>Historical transactions</w:t>
            </w:r>
          </w:p>
        </w:tc>
        <w:tc>
          <w:tcPr>
            <w:tcW w:type="dxa" w:w="6552"/>
            <w:vAlign w:val="center"/>
            <w:tcMar>
              <w:top w:w="90" w:type="dxa"/>
              <w:start w:w="100" w:type="dxa"/>
              <w:bottom w:w="90" w:type="dxa"/>
              <w:end w:w="100" w:type="dxa"/>
            </w:tcMar>
            <w:shd w:fill="F2F6FA"/>
          </w:tcPr>
          <w:p>
            <w:pPr>
              <w:spacing w:after="0" w:line="240" w:lineRule="auto"/>
              <w:jc w:val="left"/>
            </w:pPr>
            <w:r>
              <w:rPr>
                <w:color w:val="232D37"/>
                <w:sz w:val="15"/>
              </w:rPr>
              <w:t>Tickets, work orders, consumption, invoices, incidents and audits</w:t>
            </w:r>
          </w:p>
        </w:tc>
        <w:tc>
          <w:tcPr>
            <w:tcW w:type="dxa" w:w="2088"/>
            <w:vAlign w:val="center"/>
            <w:tcMar>
              <w:top w:w="90" w:type="dxa"/>
              <w:start w:w="100" w:type="dxa"/>
              <w:bottom w:w="90" w:type="dxa"/>
              <w:end w:w="100" w:type="dxa"/>
            </w:tcMar>
            <w:shd w:fill="F2F6FA"/>
          </w:tcPr>
          <w:p>
            <w:pPr>
              <w:spacing w:after="0" w:line="240" w:lineRule="auto"/>
              <w:jc w:val="left"/>
            </w:pPr>
            <w:r>
              <w:rPr>
                <w:color w:val="232D37"/>
                <w:sz w:val="15"/>
              </w:rPr>
              <w:t>System/data owners</w:t>
            </w:r>
          </w:p>
        </w:tc>
      </w:tr>
    </w:tbl>
    <w:p>
      <w:pPr>
        <w:spacing w:after="40"/>
      </w:pPr>
    </w:p>
    <w:p>
      <w:pPr>
        <w:pStyle w:val="Heading1"/>
        <w:keepNext/>
      </w:pPr>
      <w:r>
        <w:t>13. Implementation Roadmap and Acceptance Criteria</w:t>
      </w:r>
    </w:p>
    <w:p>
      <w:pPr>
        <w:pStyle w:val="Heading2"/>
        <w:keepNext/>
      </w:pPr>
      <w:r>
        <w:t>13.1 Phased rollout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656"/>
            <w:shd w:fill="17365D"/>
            <w:vAlign w:val="center"/>
            <w:tcMar>
              <w:top w:w="90" w:type="dxa"/>
              <w:start w:w="100" w:type="dxa"/>
              <w:bottom w:w="90" w:type="dxa"/>
              <w:end w:w="100" w:type="dxa"/>
            </w:tcMar>
          </w:tcPr>
          <w:p>
            <w:pPr>
              <w:jc w:val="center"/>
            </w:pPr>
            <w:r>
              <w:rPr>
                <w:b/>
                <w:color w:val="FFFFFF"/>
                <w:sz w:val="16"/>
              </w:rPr>
              <w:t>Phase</w:t>
            </w:r>
          </w:p>
        </w:tc>
        <w:tc>
          <w:tcPr>
            <w:tcW w:type="dxa" w:w="4968"/>
            <w:shd w:fill="17365D"/>
            <w:vAlign w:val="center"/>
            <w:tcMar>
              <w:top w:w="90" w:type="dxa"/>
              <w:start w:w="100" w:type="dxa"/>
              <w:bottom w:w="90" w:type="dxa"/>
              <w:end w:w="100" w:type="dxa"/>
            </w:tcMar>
          </w:tcPr>
          <w:p>
            <w:pPr>
              <w:jc w:val="center"/>
            </w:pPr>
            <w:r>
              <w:rPr>
                <w:b/>
                <w:color w:val="FFFFFF"/>
                <w:sz w:val="16"/>
              </w:rPr>
              <w:t>Scope</w:t>
            </w:r>
          </w:p>
        </w:tc>
        <w:tc>
          <w:tcPr>
            <w:tcW w:type="dxa" w:w="3744"/>
            <w:shd w:fill="17365D"/>
            <w:vAlign w:val="center"/>
            <w:tcMar>
              <w:top w:w="90" w:type="dxa"/>
              <w:start w:w="100" w:type="dxa"/>
              <w:bottom w:w="90" w:type="dxa"/>
              <w:end w:w="100" w:type="dxa"/>
            </w:tcMar>
          </w:tcPr>
          <w:p>
            <w:pPr>
              <w:jc w:val="center"/>
            </w:pPr>
            <w:r>
              <w:rPr>
                <w:b/>
                <w:color w:val="FFFFFF"/>
                <w:sz w:val="16"/>
              </w:rPr>
              <w:t>Exit criteria</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0. Mobilise</w:t>
            </w:r>
          </w:p>
        </w:tc>
        <w:tc>
          <w:tcPr>
            <w:tcW w:type="dxa" w:w="4968"/>
            <w:vAlign w:val="center"/>
            <w:tcMar>
              <w:top w:w="90" w:type="dxa"/>
              <w:start w:w="100" w:type="dxa"/>
              <w:bottom w:w="90" w:type="dxa"/>
              <w:end w:w="100" w:type="dxa"/>
            </w:tcMar>
          </w:tcPr>
          <w:p>
            <w:pPr>
              <w:spacing w:after="0" w:line="240" w:lineRule="auto"/>
              <w:jc w:val="left"/>
            </w:pPr>
            <w:r>
              <w:rPr>
                <w:color w:val="232D37"/>
                <w:sz w:val="16"/>
              </w:rPr>
              <w:t>Governance, process owners, taxonomy, architecture, data and controls</w:t>
            </w:r>
          </w:p>
        </w:tc>
        <w:tc>
          <w:tcPr>
            <w:tcW w:type="dxa" w:w="3744"/>
            <w:vAlign w:val="center"/>
            <w:tcMar>
              <w:top w:w="90" w:type="dxa"/>
              <w:start w:w="100" w:type="dxa"/>
              <w:bottom w:w="90" w:type="dxa"/>
              <w:end w:w="100" w:type="dxa"/>
            </w:tcMar>
          </w:tcPr>
          <w:p>
            <w:pPr>
              <w:spacing w:after="0" w:line="240" w:lineRule="auto"/>
              <w:jc w:val="left"/>
            </w:pPr>
            <w:r>
              <w:rPr>
                <w:color w:val="232D37"/>
                <w:sz w:val="16"/>
              </w:rPr>
              <w:t>Signed design authority and implementation plan</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1. Foundation</w:t>
            </w:r>
          </w:p>
        </w:tc>
        <w:tc>
          <w:tcPr>
            <w:tcW w:type="dxa" w:w="4968"/>
            <w:vAlign w:val="center"/>
            <w:tcMar>
              <w:top w:w="90" w:type="dxa"/>
              <w:start w:w="100" w:type="dxa"/>
              <w:bottom w:w="90" w:type="dxa"/>
              <w:end w:w="100" w:type="dxa"/>
            </w:tcMar>
            <w:shd w:fill="F2F6FA"/>
          </w:tcPr>
          <w:p>
            <w:pPr>
              <w:spacing w:after="0" w:line="240" w:lineRule="auto"/>
              <w:jc w:val="left"/>
            </w:pPr>
            <w:r>
              <w:rPr>
                <w:color w:val="232D37"/>
                <w:sz w:val="16"/>
              </w:rPr>
              <w:t>Organisation, locations, users, service catalogue, helpdesk and basic SLA</w:t>
            </w:r>
          </w:p>
        </w:tc>
        <w:tc>
          <w:tcPr>
            <w:tcW w:type="dxa" w:w="3744"/>
            <w:vAlign w:val="center"/>
            <w:tcMar>
              <w:top w:w="90" w:type="dxa"/>
              <w:start w:w="100" w:type="dxa"/>
              <w:bottom w:w="90" w:type="dxa"/>
              <w:end w:w="100" w:type="dxa"/>
            </w:tcMar>
            <w:shd w:fill="F2F6FA"/>
          </w:tcPr>
          <w:p>
            <w:pPr>
              <w:spacing w:after="0" w:line="240" w:lineRule="auto"/>
              <w:jc w:val="left"/>
            </w:pPr>
            <w:r>
              <w:rPr>
                <w:color w:val="232D37"/>
                <w:sz w:val="16"/>
              </w:rPr>
              <w:t>Pilot sites live with clean master data and adoption</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2. Operations</w:t>
            </w:r>
          </w:p>
        </w:tc>
        <w:tc>
          <w:tcPr>
            <w:tcW w:type="dxa" w:w="4968"/>
            <w:vAlign w:val="center"/>
            <w:tcMar>
              <w:top w:w="90" w:type="dxa"/>
              <w:start w:w="100" w:type="dxa"/>
              <w:bottom w:w="90" w:type="dxa"/>
              <w:end w:w="100" w:type="dxa"/>
            </w:tcMar>
          </w:tcPr>
          <w:p>
            <w:pPr>
              <w:spacing w:after="0" w:line="240" w:lineRule="auto"/>
              <w:jc w:val="left"/>
            </w:pPr>
            <w:r>
              <w:rPr>
                <w:color w:val="232D37"/>
                <w:sz w:val="16"/>
              </w:rPr>
              <w:t>Assets, PM, work orders, inventory, mobile field service and vendors</w:t>
            </w:r>
          </w:p>
        </w:tc>
        <w:tc>
          <w:tcPr>
            <w:tcW w:type="dxa" w:w="3744"/>
            <w:vAlign w:val="center"/>
            <w:tcMar>
              <w:top w:w="90" w:type="dxa"/>
              <w:start w:w="100" w:type="dxa"/>
              <w:bottom w:w="90" w:type="dxa"/>
              <w:end w:w="100" w:type="dxa"/>
            </w:tcMar>
          </w:tcPr>
          <w:p>
            <w:pPr>
              <w:spacing w:after="0" w:line="240" w:lineRule="auto"/>
              <w:jc w:val="left"/>
            </w:pPr>
            <w:r>
              <w:rPr>
                <w:color w:val="232D37"/>
                <w:sz w:val="16"/>
              </w:rPr>
              <w:t>PM compliance, stock visibility and evidence-based closure</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3. Commercials</w:t>
            </w:r>
          </w:p>
        </w:tc>
        <w:tc>
          <w:tcPr>
            <w:tcW w:type="dxa" w:w="4968"/>
            <w:vAlign w:val="center"/>
            <w:tcMar>
              <w:top w:w="90" w:type="dxa"/>
              <w:start w:w="100" w:type="dxa"/>
              <w:bottom w:w="90" w:type="dxa"/>
              <w:end w:w="100" w:type="dxa"/>
            </w:tcMar>
            <w:shd w:fill="F2F6FA"/>
          </w:tcPr>
          <w:p>
            <w:pPr>
              <w:spacing w:after="0" w:line="240" w:lineRule="auto"/>
              <w:jc w:val="left"/>
            </w:pPr>
            <w:r>
              <w:rPr>
                <w:color w:val="232D37"/>
                <w:sz w:val="16"/>
              </w:rPr>
              <w:t>Budget, contracts, rate cards, PR/PO/receipt/invoice and ERP integration</w:t>
            </w:r>
          </w:p>
        </w:tc>
        <w:tc>
          <w:tcPr>
            <w:tcW w:type="dxa" w:w="3744"/>
            <w:vAlign w:val="center"/>
            <w:tcMar>
              <w:top w:w="90" w:type="dxa"/>
              <w:start w:w="100" w:type="dxa"/>
              <w:bottom w:w="90" w:type="dxa"/>
              <w:end w:w="100" w:type="dxa"/>
            </w:tcMar>
            <w:shd w:fill="F2F6FA"/>
          </w:tcPr>
          <w:p>
            <w:pPr>
              <w:spacing w:after="0" w:line="240" w:lineRule="auto"/>
              <w:jc w:val="left"/>
            </w:pPr>
            <w:r>
              <w:rPr>
                <w:color w:val="232D37"/>
                <w:sz w:val="16"/>
              </w:rPr>
              <w:t>Commitment/actual visibility and controlled certification</w:t>
            </w:r>
          </w:p>
        </w:tc>
      </w:tr>
      <w:tr>
        <w:tc>
          <w:tcPr>
            <w:tcW w:type="dxa" w:w="1656"/>
            <w:vAlign w:val="center"/>
            <w:tcMar>
              <w:top w:w="90" w:type="dxa"/>
              <w:start w:w="100" w:type="dxa"/>
              <w:bottom w:w="90" w:type="dxa"/>
              <w:end w:w="100" w:type="dxa"/>
            </w:tcMar>
          </w:tcPr>
          <w:p>
            <w:pPr>
              <w:spacing w:after="0" w:line="240" w:lineRule="auto"/>
              <w:jc w:val="center"/>
            </w:pPr>
            <w:r>
              <w:rPr>
                <w:color w:val="232D37"/>
                <w:sz w:val="16"/>
              </w:rPr>
              <w:t>4. Risk and optimisation</w:t>
            </w:r>
          </w:p>
        </w:tc>
        <w:tc>
          <w:tcPr>
            <w:tcW w:type="dxa" w:w="4968"/>
            <w:vAlign w:val="center"/>
            <w:tcMar>
              <w:top w:w="90" w:type="dxa"/>
              <w:start w:w="100" w:type="dxa"/>
              <w:bottom w:w="90" w:type="dxa"/>
              <w:end w:w="100" w:type="dxa"/>
            </w:tcMar>
          </w:tcPr>
          <w:p>
            <w:pPr>
              <w:spacing w:after="0" w:line="240" w:lineRule="auto"/>
              <w:jc w:val="left"/>
            </w:pPr>
            <w:r>
              <w:rPr>
                <w:color w:val="232D37"/>
                <w:sz w:val="16"/>
              </w:rPr>
              <w:t>Compliance, audits, ESG, IoT, benchmarking, prediction and AI</w:t>
            </w:r>
          </w:p>
        </w:tc>
        <w:tc>
          <w:tcPr>
            <w:tcW w:type="dxa" w:w="3744"/>
            <w:vAlign w:val="center"/>
            <w:tcMar>
              <w:top w:w="90" w:type="dxa"/>
              <w:start w:w="100" w:type="dxa"/>
              <w:bottom w:w="90" w:type="dxa"/>
              <w:end w:w="100" w:type="dxa"/>
            </w:tcMar>
          </w:tcPr>
          <w:p>
            <w:pPr>
              <w:spacing w:after="0" w:line="240" w:lineRule="auto"/>
              <w:jc w:val="left"/>
            </w:pPr>
            <w:r>
              <w:rPr>
                <w:color w:val="232D37"/>
                <w:sz w:val="16"/>
              </w:rPr>
              <w:t>Exception-led governance and measurable benefits</w:t>
            </w:r>
          </w:p>
        </w:tc>
      </w:tr>
      <w:tr>
        <w:tc>
          <w:tcPr>
            <w:tcW w:type="dxa" w:w="1656"/>
            <w:vAlign w:val="center"/>
            <w:tcMar>
              <w:top w:w="90" w:type="dxa"/>
              <w:start w:w="100" w:type="dxa"/>
              <w:bottom w:w="90" w:type="dxa"/>
              <w:end w:w="100" w:type="dxa"/>
            </w:tcMar>
            <w:shd w:fill="F2F6FA"/>
          </w:tcPr>
          <w:p>
            <w:pPr>
              <w:spacing w:after="0" w:line="240" w:lineRule="auto"/>
              <w:jc w:val="center"/>
            </w:pPr>
            <w:r>
              <w:rPr>
                <w:color w:val="232D37"/>
                <w:sz w:val="16"/>
              </w:rPr>
              <w:t>5. Scale</w:t>
            </w:r>
          </w:p>
        </w:tc>
        <w:tc>
          <w:tcPr>
            <w:tcW w:type="dxa" w:w="4968"/>
            <w:vAlign w:val="center"/>
            <w:tcMar>
              <w:top w:w="90" w:type="dxa"/>
              <w:start w:w="100" w:type="dxa"/>
              <w:bottom w:w="90" w:type="dxa"/>
              <w:end w:w="100" w:type="dxa"/>
            </w:tcMar>
            <w:shd w:fill="F2F6FA"/>
          </w:tcPr>
          <w:p>
            <w:pPr>
              <w:spacing w:after="0" w:line="240" w:lineRule="auto"/>
              <w:jc w:val="left"/>
            </w:pPr>
            <w:r>
              <w:rPr>
                <w:color w:val="232D37"/>
                <w:sz w:val="16"/>
              </w:rPr>
              <w:t>All regions/branches, local variants, migration factory and continuous improvement</w:t>
            </w:r>
          </w:p>
        </w:tc>
        <w:tc>
          <w:tcPr>
            <w:tcW w:type="dxa" w:w="3744"/>
            <w:vAlign w:val="center"/>
            <w:tcMar>
              <w:top w:w="90" w:type="dxa"/>
              <w:start w:w="100" w:type="dxa"/>
              <w:bottom w:w="90" w:type="dxa"/>
              <w:end w:w="100" w:type="dxa"/>
            </w:tcMar>
            <w:shd w:fill="F2F6FA"/>
          </w:tcPr>
          <w:p>
            <w:pPr>
              <w:spacing w:after="0" w:line="240" w:lineRule="auto"/>
              <w:jc w:val="left"/>
            </w:pPr>
            <w:r>
              <w:rPr>
                <w:color w:val="232D37"/>
                <w:sz w:val="16"/>
              </w:rPr>
              <w:t>Sustained data quality, SLA and financial control at scale</w:t>
            </w:r>
          </w:p>
        </w:tc>
      </w:tr>
    </w:tbl>
    <w:p>
      <w:pPr>
        <w:spacing w:after="40"/>
      </w:pPr>
    </w:p>
    <w:p>
      <w:pPr>
        <w:pStyle w:val="Heading2"/>
        <w:keepNext/>
      </w:pPr>
      <w:r>
        <w:t>13.2 Minimum acceptance criteria</w:t>
      </w:r>
    </w:p>
    <w:p>
      <w:pPr>
        <w:pStyle w:val="ListBullet"/>
      </w:pPr>
      <w:r>
        <w:t>Every active location has an approved hierarchy, address, cost centre, owner, criticality and service bundle.</w:t>
      </w:r>
    </w:p>
    <w:p>
      <w:pPr>
        <w:pStyle w:val="ListBullet"/>
      </w:pPr>
      <w:r>
        <w:t>Every critical maintainable asset is tagged and linked to location, owner, AMC/warranty and PM plan.</w:t>
      </w:r>
    </w:p>
    <w:p>
      <w:pPr>
        <w:pStyle w:val="ListBullet"/>
      </w:pPr>
      <w:r>
        <w:t>No service invoice can be certified without contract/PO reference, service period, evidence and budget/account mapping.</w:t>
      </w:r>
    </w:p>
    <w:p>
      <w:pPr>
        <w:pStyle w:val="ListBullet"/>
      </w:pPr>
      <w:r>
        <w:t>The system prevents or reports duplicate vendor, invoice, asset, item and location records.</w:t>
      </w:r>
    </w:p>
    <w:p>
      <w:pPr>
        <w:pStyle w:val="ListBullet"/>
      </w:pPr>
      <w:r>
        <w:t>Approvals follow delegation, substitutions are logged, and no user can request, approve, receive and pay the same transaction end to end.</w:t>
      </w:r>
    </w:p>
    <w:p>
      <w:pPr>
        <w:pStyle w:val="ListBullet"/>
      </w:pPr>
      <w:r>
        <w:t>SLA clocks use configured business calendars, pauses require reason/evidence, and escalations are auditable.</w:t>
      </w:r>
    </w:p>
    <w:p>
      <w:pPr>
        <w:pStyle w:val="ListBullet"/>
      </w:pPr>
      <w:r>
        <w:t>Budget dashboard reconciles to finance within an agreed tolerance and frequency.</w:t>
      </w:r>
    </w:p>
    <w:p>
      <w:pPr>
        <w:pStyle w:val="ListBullet"/>
      </w:pPr>
      <w:r>
        <w:t>Compliance expiries generate alerts and unresolved high-risk items escalate automatically.</w:t>
      </w:r>
    </w:p>
    <w:p>
      <w:pPr>
        <w:pStyle w:val="ListBullet"/>
      </w:pPr>
      <w:r>
        <w:t>Branch users can submit and track requests through simple channels; vendors can update assigned work without accessing unrelated data.</w:t>
      </w:r>
    </w:p>
    <w:p>
      <w:pPr>
        <w:pStyle w:val="ListBullet"/>
      </w:pPr>
      <w:r>
        <w:t>All sensitive data has role-based access, retention, encryption and audit logging.</w:t>
      </w:r>
    </w:p>
    <w:p>
      <w:pPr>
        <w:pStyle w:val="ListBullet"/>
      </w:pPr>
      <w:r>
        <w:t>Dashboards allow drill-down from enterprise to transaction and evidence.</w:t>
      </w:r>
    </w:p>
    <w:p>
      <w:pPr>
        <w:pStyle w:val="ListBullet"/>
      </w:pPr>
      <w:r>
        <w:t>Data-quality reports show completeness, validity, uniqueness, timeliness, ownership and remediation status.</w:t>
      </w:r>
    </w:p>
    <w:p>
      <w:pPr>
        <w:pStyle w:val="Heading2"/>
        <w:keepNext/>
      </w:pPr>
      <w:r>
        <w:t>13.3 Success measures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944"/>
            <w:shd w:fill="17365D"/>
            <w:vAlign w:val="center"/>
            <w:tcMar>
              <w:top w:w="90" w:type="dxa"/>
              <w:start w:w="100" w:type="dxa"/>
              <w:bottom w:w="90" w:type="dxa"/>
              <w:end w:w="100" w:type="dxa"/>
            </w:tcMar>
          </w:tcPr>
          <w:p>
            <w:pPr>
              <w:jc w:val="center"/>
            </w:pPr>
            <w:r>
              <w:rPr>
                <w:b/>
                <w:color w:val="FFFFFF"/>
                <w:sz w:val="16"/>
              </w:rPr>
              <w:t>Outcome</w:t>
            </w:r>
          </w:p>
        </w:tc>
        <w:tc>
          <w:tcPr>
            <w:tcW w:type="dxa" w:w="8424"/>
            <w:shd w:fill="17365D"/>
            <w:vAlign w:val="center"/>
            <w:tcMar>
              <w:top w:w="90" w:type="dxa"/>
              <w:start w:w="100" w:type="dxa"/>
              <w:bottom w:w="90" w:type="dxa"/>
              <w:end w:w="100" w:type="dxa"/>
            </w:tcMar>
          </w:tcPr>
          <w:p>
            <w:pPr>
              <w:jc w:val="center"/>
            </w:pPr>
            <w:r>
              <w:rPr>
                <w:b/>
                <w:color w:val="FFFFFF"/>
                <w:sz w:val="16"/>
              </w:rPr>
              <w:t>Illustrative measures</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Reliability</w:t>
            </w:r>
          </w:p>
        </w:tc>
        <w:tc>
          <w:tcPr>
            <w:tcW w:type="dxa" w:w="8424"/>
            <w:vAlign w:val="center"/>
            <w:tcMar>
              <w:top w:w="90" w:type="dxa"/>
              <w:start w:w="100" w:type="dxa"/>
              <w:bottom w:w="90" w:type="dxa"/>
              <w:end w:w="100" w:type="dxa"/>
            </w:tcMar>
          </w:tcPr>
          <w:p>
            <w:pPr>
              <w:spacing w:after="0" w:line="240" w:lineRule="auto"/>
              <w:jc w:val="left"/>
            </w:pPr>
            <w:r>
              <w:rPr>
                <w:color w:val="232D37"/>
                <w:sz w:val="16"/>
              </w:rPr>
              <w:t>Asset uptime, PM compliance, repeat failure, incident reduction and restoration time</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Cost control</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Budget variance, contract leakage, unit cost, invoice accuracy and verified savings</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Service experience</w:t>
            </w:r>
          </w:p>
        </w:tc>
        <w:tc>
          <w:tcPr>
            <w:tcW w:type="dxa" w:w="8424"/>
            <w:vAlign w:val="center"/>
            <w:tcMar>
              <w:top w:w="90" w:type="dxa"/>
              <w:start w:w="100" w:type="dxa"/>
              <w:bottom w:w="90" w:type="dxa"/>
              <w:end w:w="100" w:type="dxa"/>
            </w:tcMar>
          </w:tcPr>
          <w:p>
            <w:pPr>
              <w:spacing w:after="0" w:line="240" w:lineRule="auto"/>
              <w:jc w:val="left"/>
            </w:pPr>
            <w:r>
              <w:rPr>
                <w:color w:val="232D37"/>
                <w:sz w:val="16"/>
              </w:rPr>
              <w:t>SLA achievement, first-time fix, request effort and satisfaction</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Risk</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Overdue compliance, safety incidents, audit closure and critical-vendor resilience</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Productivity</w:t>
            </w:r>
          </w:p>
        </w:tc>
        <w:tc>
          <w:tcPr>
            <w:tcW w:type="dxa" w:w="8424"/>
            <w:vAlign w:val="center"/>
            <w:tcMar>
              <w:top w:w="90" w:type="dxa"/>
              <w:start w:w="100" w:type="dxa"/>
              <w:bottom w:w="90" w:type="dxa"/>
              <w:end w:w="100" w:type="dxa"/>
            </w:tcMar>
          </w:tcPr>
          <w:p>
            <w:pPr>
              <w:spacing w:after="0" w:line="240" w:lineRule="auto"/>
              <w:jc w:val="left"/>
            </w:pPr>
            <w:r>
              <w:rPr>
                <w:color w:val="232D37"/>
                <w:sz w:val="16"/>
              </w:rPr>
              <w:t>Automation rate, technician utilisation, approval cycle and invoice cycle time</w:t>
            </w:r>
          </w:p>
        </w:tc>
      </w:tr>
      <w:tr>
        <w:tc>
          <w:tcPr>
            <w:tcW w:type="dxa" w:w="1944"/>
            <w:vAlign w:val="center"/>
            <w:tcMar>
              <w:top w:w="90" w:type="dxa"/>
              <w:start w:w="100" w:type="dxa"/>
              <w:bottom w:w="90" w:type="dxa"/>
              <w:end w:w="100" w:type="dxa"/>
            </w:tcMar>
            <w:shd w:fill="F2F6FA"/>
          </w:tcPr>
          <w:p>
            <w:pPr>
              <w:spacing w:after="0" w:line="240" w:lineRule="auto"/>
              <w:jc w:val="center"/>
            </w:pPr>
            <w:r>
              <w:rPr>
                <w:color w:val="232D37"/>
                <w:sz w:val="16"/>
              </w:rPr>
              <w:t>Sustainability</w:t>
            </w:r>
          </w:p>
        </w:tc>
        <w:tc>
          <w:tcPr>
            <w:tcW w:type="dxa" w:w="8424"/>
            <w:vAlign w:val="center"/>
            <w:tcMar>
              <w:top w:w="90" w:type="dxa"/>
              <w:start w:w="100" w:type="dxa"/>
              <w:bottom w:w="90" w:type="dxa"/>
              <w:end w:w="100" w:type="dxa"/>
            </w:tcMar>
            <w:shd w:fill="F2F6FA"/>
          </w:tcPr>
          <w:p>
            <w:pPr>
              <w:spacing w:after="0" w:line="240" w:lineRule="auto"/>
              <w:jc w:val="left"/>
            </w:pPr>
            <w:r>
              <w:rPr>
                <w:color w:val="232D37"/>
                <w:sz w:val="16"/>
              </w:rPr>
              <w:t>Energy/water intensity, renewable share, waste diversion and emission reductions</w:t>
            </w:r>
          </w:p>
        </w:tc>
      </w:tr>
      <w:tr>
        <w:tc>
          <w:tcPr>
            <w:tcW w:type="dxa" w:w="1944"/>
            <w:vAlign w:val="center"/>
            <w:tcMar>
              <w:top w:w="90" w:type="dxa"/>
              <w:start w:w="100" w:type="dxa"/>
              <w:bottom w:w="90" w:type="dxa"/>
              <w:end w:w="100" w:type="dxa"/>
            </w:tcMar>
          </w:tcPr>
          <w:p>
            <w:pPr>
              <w:spacing w:after="0" w:line="240" w:lineRule="auto"/>
              <w:jc w:val="center"/>
            </w:pPr>
            <w:r>
              <w:rPr>
                <w:color w:val="232D37"/>
                <w:sz w:val="16"/>
              </w:rPr>
              <w:t>Data</w:t>
            </w:r>
          </w:p>
        </w:tc>
        <w:tc>
          <w:tcPr>
            <w:tcW w:type="dxa" w:w="8424"/>
            <w:vAlign w:val="center"/>
            <w:tcMar>
              <w:top w:w="90" w:type="dxa"/>
              <w:start w:w="100" w:type="dxa"/>
              <w:bottom w:w="90" w:type="dxa"/>
              <w:end w:w="100" w:type="dxa"/>
            </w:tcMar>
          </w:tcPr>
          <w:p>
            <w:pPr>
              <w:spacing w:after="0" w:line="240" w:lineRule="auto"/>
              <w:jc w:val="left"/>
            </w:pPr>
            <w:r>
              <w:rPr>
                <w:color w:val="232D37"/>
                <w:sz w:val="16"/>
              </w:rPr>
              <w:t>Master completeness, duplicate rate, reconciliation and evidence compliance</w:t>
            </w:r>
          </w:p>
        </w:tc>
      </w:tr>
    </w:tbl>
    <w:p>
      <w:pPr>
        <w:spacing w:after="40"/>
      </w:pPr>
    </w:p>
    <w:p>
      <w:pPr>
        <w:pStyle w:val="Heading1"/>
        <w:keepNext/>
      </w:pPr>
      <w:r>
        <w:t>Appendix A. Example Location Budget Template</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936"/>
            <w:shd w:fill="17365D"/>
            <w:vAlign w:val="center"/>
            <w:tcMar>
              <w:top w:w="90" w:type="dxa"/>
              <w:start w:w="100" w:type="dxa"/>
              <w:bottom w:w="90" w:type="dxa"/>
              <w:end w:w="100" w:type="dxa"/>
            </w:tcMar>
          </w:tcPr>
          <w:p>
            <w:pPr>
              <w:jc w:val="center"/>
            </w:pPr>
            <w:r>
              <w:rPr>
                <w:b/>
                <w:color w:val="FFFFFF"/>
                <w:sz w:val="13"/>
              </w:rPr>
              <w:t>Budget code</w:t>
            </w:r>
          </w:p>
        </w:tc>
        <w:tc>
          <w:tcPr>
            <w:tcW w:type="dxa" w:w="1512"/>
            <w:shd w:fill="17365D"/>
            <w:vAlign w:val="center"/>
            <w:tcMar>
              <w:top w:w="90" w:type="dxa"/>
              <w:start w:w="100" w:type="dxa"/>
              <w:bottom w:w="90" w:type="dxa"/>
              <w:end w:w="100" w:type="dxa"/>
            </w:tcMar>
          </w:tcPr>
          <w:p>
            <w:pPr>
              <w:jc w:val="center"/>
            </w:pPr>
            <w:r>
              <w:rPr>
                <w:b/>
                <w:color w:val="FFFFFF"/>
                <w:sz w:val="13"/>
              </w:rPr>
              <w:t>Category</w:t>
            </w:r>
          </w:p>
        </w:tc>
        <w:tc>
          <w:tcPr>
            <w:tcW w:type="dxa" w:w="1944"/>
            <w:shd w:fill="17365D"/>
            <w:vAlign w:val="center"/>
            <w:tcMar>
              <w:top w:w="90" w:type="dxa"/>
              <w:start w:w="100" w:type="dxa"/>
              <w:bottom w:w="90" w:type="dxa"/>
              <w:end w:w="100" w:type="dxa"/>
            </w:tcMar>
          </w:tcPr>
          <w:p>
            <w:pPr>
              <w:jc w:val="center"/>
            </w:pPr>
            <w:r>
              <w:rPr>
                <w:b/>
                <w:color w:val="FFFFFF"/>
                <w:sz w:val="13"/>
              </w:rPr>
              <w:t>Unit/driver</w:t>
            </w:r>
          </w:p>
        </w:tc>
        <w:tc>
          <w:tcPr>
            <w:tcW w:type="dxa" w:w="1152"/>
            <w:shd w:fill="17365D"/>
            <w:vAlign w:val="center"/>
            <w:tcMar>
              <w:top w:w="90" w:type="dxa"/>
              <w:start w:w="100" w:type="dxa"/>
              <w:bottom w:w="90" w:type="dxa"/>
              <w:end w:w="100" w:type="dxa"/>
            </w:tcMar>
          </w:tcPr>
          <w:p>
            <w:pPr>
              <w:jc w:val="center"/>
            </w:pPr>
            <w:r>
              <w:rPr>
                <w:b/>
                <w:color w:val="FFFFFF"/>
                <w:sz w:val="13"/>
              </w:rPr>
              <w:t>Annual budget</w:t>
            </w:r>
          </w:p>
        </w:tc>
        <w:tc>
          <w:tcPr>
            <w:tcW w:type="dxa" w:w="1152"/>
            <w:shd w:fill="17365D"/>
            <w:vAlign w:val="center"/>
            <w:tcMar>
              <w:top w:w="90" w:type="dxa"/>
              <w:start w:w="100" w:type="dxa"/>
              <w:bottom w:w="90" w:type="dxa"/>
              <w:end w:w="100" w:type="dxa"/>
            </w:tcMar>
          </w:tcPr>
          <w:p>
            <w:pPr>
              <w:jc w:val="center"/>
            </w:pPr>
            <w:r>
              <w:rPr>
                <w:b/>
                <w:color w:val="FFFFFF"/>
                <w:sz w:val="13"/>
              </w:rPr>
              <w:t>Commitment</w:t>
            </w:r>
          </w:p>
        </w:tc>
        <w:tc>
          <w:tcPr>
            <w:tcW w:type="dxa" w:w="1224"/>
            <w:shd w:fill="17365D"/>
            <w:vAlign w:val="center"/>
            <w:tcMar>
              <w:top w:w="90" w:type="dxa"/>
              <w:start w:w="100" w:type="dxa"/>
              <w:bottom w:w="90" w:type="dxa"/>
              <w:end w:w="100" w:type="dxa"/>
            </w:tcMar>
          </w:tcPr>
          <w:p>
            <w:pPr>
              <w:jc w:val="center"/>
            </w:pPr>
            <w:r>
              <w:rPr>
                <w:b/>
                <w:color w:val="FFFFFF"/>
                <w:sz w:val="13"/>
              </w:rPr>
              <w:t>Actual + accrual</w:t>
            </w:r>
          </w:p>
        </w:tc>
        <w:tc>
          <w:tcPr>
            <w:tcW w:type="dxa" w:w="1080"/>
            <w:shd w:fill="17365D"/>
            <w:vAlign w:val="center"/>
            <w:tcMar>
              <w:top w:w="90" w:type="dxa"/>
              <w:start w:w="100" w:type="dxa"/>
              <w:bottom w:w="90" w:type="dxa"/>
              <w:end w:w="100" w:type="dxa"/>
            </w:tcMar>
          </w:tcPr>
          <w:p>
            <w:pPr>
              <w:jc w:val="center"/>
            </w:pPr>
            <w:r>
              <w:rPr>
                <w:b/>
                <w:color w:val="FFFFFF"/>
                <w:sz w:val="13"/>
              </w:rPr>
              <w:t>Forecast</w:t>
            </w:r>
          </w:p>
        </w:tc>
        <w:tc>
          <w:tcPr>
            <w:tcW w:type="dxa" w:w="1008"/>
            <w:shd w:fill="17365D"/>
            <w:vAlign w:val="center"/>
            <w:tcMar>
              <w:top w:w="90" w:type="dxa"/>
              <w:start w:w="100" w:type="dxa"/>
              <w:bottom w:w="90" w:type="dxa"/>
              <w:end w:w="100" w:type="dxa"/>
            </w:tcMar>
          </w:tcPr>
          <w:p>
            <w:pPr>
              <w:jc w:val="center"/>
            </w:pPr>
            <w:r>
              <w:rPr>
                <w:b/>
                <w:color w:val="FFFFFF"/>
                <w:sz w:val="13"/>
              </w:rPr>
              <w:t>Variance</w:t>
            </w:r>
          </w:p>
        </w:tc>
        <w:tc>
          <w:tcPr>
            <w:tcW w:type="dxa" w:w="1296"/>
            <w:shd w:fill="17365D"/>
            <w:vAlign w:val="center"/>
            <w:tcMar>
              <w:top w:w="90" w:type="dxa"/>
              <w:start w:w="100" w:type="dxa"/>
              <w:bottom w:w="90" w:type="dxa"/>
              <w:end w:w="100" w:type="dxa"/>
            </w:tcMar>
          </w:tcPr>
          <w:p>
            <w:pPr>
              <w:jc w:val="center"/>
            </w:pPr>
            <w:r>
              <w:rPr>
                <w:b/>
                <w:color w:val="FFFFFF"/>
                <w:sz w:val="13"/>
              </w:rPr>
              <w:t>Owner</w:t>
            </w:r>
          </w:p>
        </w:tc>
      </w:tr>
      <w:tr>
        <w:tc>
          <w:tcPr>
            <w:tcW w:type="dxa" w:w="936"/>
            <w:vAlign w:val="center"/>
            <w:tcMar>
              <w:top w:w="90" w:type="dxa"/>
              <w:start w:w="100" w:type="dxa"/>
              <w:bottom w:w="90" w:type="dxa"/>
              <w:end w:w="100" w:type="dxa"/>
            </w:tcMar>
          </w:tcPr>
          <w:p>
            <w:pPr>
              <w:spacing w:after="0" w:line="240" w:lineRule="auto"/>
              <w:jc w:val="center"/>
            </w:pPr>
            <w:r>
              <w:rPr>
                <w:color w:val="232D37"/>
                <w:sz w:val="13"/>
              </w:rPr>
              <w:t>RENT</w:t>
            </w:r>
          </w:p>
        </w:tc>
        <w:tc>
          <w:tcPr>
            <w:tcW w:type="dxa" w:w="1512"/>
            <w:vAlign w:val="center"/>
            <w:tcMar>
              <w:top w:w="90" w:type="dxa"/>
              <w:start w:w="100" w:type="dxa"/>
              <w:bottom w:w="90" w:type="dxa"/>
              <w:end w:w="100" w:type="dxa"/>
            </w:tcMar>
          </w:tcPr>
          <w:p>
            <w:pPr>
              <w:spacing w:after="0" w:line="240" w:lineRule="auto"/>
              <w:jc w:val="center"/>
            </w:pPr>
            <w:r>
              <w:rPr>
                <w:color w:val="232D37"/>
                <w:sz w:val="13"/>
              </w:rPr>
              <w:t>Rent/CAM</w:t>
            </w:r>
          </w:p>
        </w:tc>
        <w:tc>
          <w:tcPr>
            <w:tcW w:type="dxa" w:w="1944"/>
            <w:vAlign w:val="center"/>
            <w:tcMar>
              <w:top w:w="90" w:type="dxa"/>
              <w:start w:w="100" w:type="dxa"/>
              <w:bottom w:w="90" w:type="dxa"/>
              <w:end w:w="100" w:type="dxa"/>
            </w:tcMar>
          </w:tcPr>
          <w:p>
            <w:pPr>
              <w:spacing w:after="0" w:line="240" w:lineRule="auto"/>
              <w:jc w:val="center"/>
            </w:pPr>
            <w:r>
              <w:rPr>
                <w:color w:val="232D37"/>
                <w:sz w:val="13"/>
              </w:rPr>
              <w:t>Area x rate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tcPr>
          <w:p>
            <w:pPr>
              <w:spacing w:after="0" w:line="240" w:lineRule="auto"/>
              <w:jc w:val="center"/>
            </w:pPr>
            <w:r>
              <w:rPr>
                <w:color w:val="232D37"/>
                <w:sz w:val="13"/>
              </w:rPr>
              <w:t>Real Estate</w:t>
            </w:r>
          </w:p>
        </w:tc>
      </w:tr>
      <w:tr>
        <w:tc>
          <w:tcPr>
            <w:tcW w:type="dxa" w:w="936"/>
            <w:vAlign w:val="center"/>
            <w:tcMar>
              <w:top w:w="90" w:type="dxa"/>
              <w:start w:w="100" w:type="dxa"/>
              <w:bottom w:w="90" w:type="dxa"/>
              <w:end w:w="100" w:type="dxa"/>
            </w:tcMar>
            <w:shd w:fill="F2F6FA"/>
          </w:tcPr>
          <w:p>
            <w:pPr>
              <w:spacing w:after="0" w:line="240" w:lineRule="auto"/>
              <w:jc w:val="center"/>
            </w:pPr>
            <w:r>
              <w:rPr>
                <w:color w:val="232D37"/>
                <w:sz w:val="13"/>
              </w:rPr>
              <w:t>UTIL-E</w:t>
            </w:r>
          </w:p>
        </w:tc>
        <w:tc>
          <w:tcPr>
            <w:tcW w:type="dxa" w:w="1512"/>
            <w:vAlign w:val="center"/>
            <w:tcMar>
              <w:top w:w="90" w:type="dxa"/>
              <w:start w:w="100" w:type="dxa"/>
              <w:bottom w:w="90" w:type="dxa"/>
              <w:end w:w="100" w:type="dxa"/>
            </w:tcMar>
            <w:shd w:fill="F2F6FA"/>
          </w:tcPr>
          <w:p>
            <w:pPr>
              <w:spacing w:after="0" w:line="240" w:lineRule="auto"/>
              <w:jc w:val="center"/>
            </w:pPr>
            <w:r>
              <w:rPr>
                <w:color w:val="232D37"/>
                <w:sz w:val="13"/>
              </w:rPr>
              <w:t>Electricity</w:t>
            </w:r>
          </w:p>
        </w:tc>
        <w:tc>
          <w:tcPr>
            <w:tcW w:type="dxa" w:w="1944"/>
            <w:vAlign w:val="center"/>
            <w:tcMar>
              <w:top w:w="90" w:type="dxa"/>
              <w:start w:w="100" w:type="dxa"/>
              <w:bottom w:w="90" w:type="dxa"/>
              <w:end w:w="100" w:type="dxa"/>
            </w:tcMar>
            <w:shd w:fill="F2F6FA"/>
          </w:tcPr>
          <w:p>
            <w:pPr>
              <w:spacing w:after="0" w:line="240" w:lineRule="auto"/>
              <w:jc w:val="center"/>
            </w:pPr>
            <w:r>
              <w:rPr>
                <w:color w:val="232D37"/>
                <w:sz w:val="13"/>
              </w:rPr>
              <w:t>kWh x tariff</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shd w:fill="F2F6FA"/>
          </w:tcPr>
          <w:p>
            <w:pPr>
              <w:spacing w:after="0" w:line="240" w:lineRule="auto"/>
              <w:jc w:val="center"/>
            </w:pPr>
            <w:r>
              <w:rPr>
                <w:color w:val="232D37"/>
                <w:sz w:val="13"/>
              </w:rPr>
              <w:t>Engineering</w:t>
            </w:r>
          </w:p>
        </w:tc>
      </w:tr>
      <w:tr>
        <w:tc>
          <w:tcPr>
            <w:tcW w:type="dxa" w:w="936"/>
            <w:vAlign w:val="center"/>
            <w:tcMar>
              <w:top w:w="90" w:type="dxa"/>
              <w:start w:w="100" w:type="dxa"/>
              <w:bottom w:w="90" w:type="dxa"/>
              <w:end w:w="100" w:type="dxa"/>
            </w:tcMar>
          </w:tcPr>
          <w:p>
            <w:pPr>
              <w:spacing w:after="0" w:line="240" w:lineRule="auto"/>
              <w:jc w:val="center"/>
            </w:pPr>
            <w:r>
              <w:rPr>
                <w:color w:val="232D37"/>
                <w:sz w:val="13"/>
              </w:rPr>
              <w:t>HK-SVC</w:t>
            </w:r>
          </w:p>
        </w:tc>
        <w:tc>
          <w:tcPr>
            <w:tcW w:type="dxa" w:w="1512"/>
            <w:vAlign w:val="center"/>
            <w:tcMar>
              <w:top w:w="90" w:type="dxa"/>
              <w:start w:w="100" w:type="dxa"/>
              <w:bottom w:w="90" w:type="dxa"/>
              <w:end w:w="100" w:type="dxa"/>
            </w:tcMar>
          </w:tcPr>
          <w:p>
            <w:pPr>
              <w:spacing w:after="0" w:line="240" w:lineRule="auto"/>
              <w:jc w:val="left"/>
            </w:pPr>
            <w:r>
              <w:rPr>
                <w:color w:val="232D37"/>
                <w:sz w:val="13"/>
              </w:rPr>
              <w:t>Housekeeping service</w:t>
            </w:r>
          </w:p>
        </w:tc>
        <w:tc>
          <w:tcPr>
            <w:tcW w:type="dxa" w:w="1944"/>
            <w:vAlign w:val="center"/>
            <w:tcMar>
              <w:top w:w="90" w:type="dxa"/>
              <w:start w:w="100" w:type="dxa"/>
              <w:bottom w:w="90" w:type="dxa"/>
              <w:end w:w="100" w:type="dxa"/>
            </w:tcMar>
          </w:tcPr>
          <w:p>
            <w:pPr>
              <w:spacing w:after="0" w:line="240" w:lineRule="auto"/>
              <w:jc w:val="center"/>
            </w:pPr>
            <w:r>
              <w:rPr>
                <w:color w:val="232D37"/>
                <w:sz w:val="13"/>
              </w:rPr>
              <w:t>Deployment</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tcPr>
          <w:p>
            <w:pPr>
              <w:spacing w:after="0" w:line="240" w:lineRule="auto"/>
              <w:jc w:val="center"/>
            </w:pPr>
            <w:r>
              <w:rPr>
                <w:color w:val="232D37"/>
                <w:sz w:val="13"/>
              </w:rPr>
              <w:t>Facilities</w:t>
            </w:r>
          </w:p>
        </w:tc>
      </w:tr>
      <w:tr>
        <w:tc>
          <w:tcPr>
            <w:tcW w:type="dxa" w:w="936"/>
            <w:vAlign w:val="center"/>
            <w:tcMar>
              <w:top w:w="90" w:type="dxa"/>
              <w:start w:w="100" w:type="dxa"/>
              <w:bottom w:w="90" w:type="dxa"/>
              <w:end w:w="100" w:type="dxa"/>
            </w:tcMar>
            <w:shd w:fill="F2F6FA"/>
          </w:tcPr>
          <w:p>
            <w:pPr>
              <w:spacing w:after="0" w:line="240" w:lineRule="auto"/>
              <w:jc w:val="center"/>
            </w:pPr>
            <w:r>
              <w:rPr>
                <w:color w:val="232D37"/>
                <w:sz w:val="13"/>
              </w:rPr>
              <w:t>HK-CON</w:t>
            </w:r>
          </w:p>
        </w:tc>
        <w:tc>
          <w:tcPr>
            <w:tcW w:type="dxa" w:w="1512"/>
            <w:vAlign w:val="center"/>
            <w:tcMar>
              <w:top w:w="90" w:type="dxa"/>
              <w:start w:w="100" w:type="dxa"/>
              <w:bottom w:w="90" w:type="dxa"/>
              <w:end w:w="100" w:type="dxa"/>
            </w:tcMar>
            <w:shd w:fill="F2F6FA"/>
          </w:tcPr>
          <w:p>
            <w:pPr>
              <w:spacing w:after="0" w:line="240" w:lineRule="auto"/>
              <w:jc w:val="center"/>
            </w:pPr>
            <w:r>
              <w:rPr>
                <w:color w:val="232D37"/>
                <w:sz w:val="13"/>
              </w:rPr>
              <w:t>HK consumables</w:t>
            </w:r>
          </w:p>
        </w:tc>
        <w:tc>
          <w:tcPr>
            <w:tcW w:type="dxa" w:w="1944"/>
            <w:vAlign w:val="center"/>
            <w:tcMar>
              <w:top w:w="90" w:type="dxa"/>
              <w:start w:w="100" w:type="dxa"/>
              <w:bottom w:w="90" w:type="dxa"/>
              <w:end w:w="100" w:type="dxa"/>
            </w:tcMar>
            <w:shd w:fill="F2F6FA"/>
          </w:tcPr>
          <w:p>
            <w:pPr>
              <w:spacing w:after="0" w:line="240" w:lineRule="auto"/>
              <w:jc w:val="left"/>
            </w:pPr>
            <w:r>
              <w:rPr>
                <w:color w:val="232D37"/>
                <w:sz w:val="13"/>
              </w:rPr>
              <w:t>Norm x area/footfall</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shd w:fill="F2F6FA"/>
          </w:tcPr>
          <w:p>
            <w:pPr>
              <w:spacing w:after="0" w:line="240" w:lineRule="auto"/>
              <w:jc w:val="center"/>
            </w:pPr>
            <w:r>
              <w:rPr>
                <w:color w:val="232D37"/>
                <w:sz w:val="13"/>
              </w:rPr>
              <w:t>Administration</w:t>
            </w:r>
          </w:p>
        </w:tc>
      </w:tr>
      <w:tr>
        <w:tc>
          <w:tcPr>
            <w:tcW w:type="dxa" w:w="936"/>
            <w:vAlign w:val="center"/>
            <w:tcMar>
              <w:top w:w="90" w:type="dxa"/>
              <w:start w:w="100" w:type="dxa"/>
              <w:bottom w:w="90" w:type="dxa"/>
              <w:end w:w="100" w:type="dxa"/>
            </w:tcMar>
          </w:tcPr>
          <w:p>
            <w:pPr>
              <w:spacing w:after="0" w:line="240" w:lineRule="auto"/>
              <w:jc w:val="center"/>
            </w:pPr>
            <w:r>
              <w:rPr>
                <w:color w:val="232D37"/>
                <w:sz w:val="13"/>
              </w:rPr>
              <w:t>STN</w:t>
            </w:r>
          </w:p>
        </w:tc>
        <w:tc>
          <w:tcPr>
            <w:tcW w:type="dxa" w:w="1512"/>
            <w:vAlign w:val="center"/>
            <w:tcMar>
              <w:top w:w="90" w:type="dxa"/>
              <w:start w:w="100" w:type="dxa"/>
              <w:bottom w:w="90" w:type="dxa"/>
              <w:end w:w="100" w:type="dxa"/>
            </w:tcMar>
          </w:tcPr>
          <w:p>
            <w:pPr>
              <w:spacing w:after="0" w:line="240" w:lineRule="auto"/>
              <w:jc w:val="center"/>
            </w:pPr>
            <w:r>
              <w:rPr>
                <w:color w:val="232D37"/>
                <w:sz w:val="13"/>
              </w:rPr>
              <w:t>Stationery</w:t>
            </w:r>
          </w:p>
        </w:tc>
        <w:tc>
          <w:tcPr>
            <w:tcW w:type="dxa" w:w="1944"/>
            <w:vAlign w:val="center"/>
            <w:tcMar>
              <w:top w:w="90" w:type="dxa"/>
              <w:start w:w="100" w:type="dxa"/>
              <w:bottom w:w="90" w:type="dxa"/>
              <w:end w:w="100" w:type="dxa"/>
            </w:tcMar>
          </w:tcPr>
          <w:p>
            <w:pPr>
              <w:spacing w:after="0" w:line="240" w:lineRule="auto"/>
              <w:jc w:val="center"/>
            </w:pPr>
            <w:r>
              <w:rPr>
                <w:color w:val="232D37"/>
                <w:sz w:val="13"/>
              </w:rPr>
              <w:t>Entitlement/usage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tcPr>
          <w:p>
            <w:pPr>
              <w:spacing w:after="0" w:line="240" w:lineRule="auto"/>
              <w:jc w:val="center"/>
            </w:pPr>
            <w:r>
              <w:rPr>
                <w:color w:val="232D37"/>
                <w:sz w:val="13"/>
              </w:rPr>
              <w:t>Administration</w:t>
            </w:r>
          </w:p>
        </w:tc>
      </w:tr>
      <w:tr>
        <w:tc>
          <w:tcPr>
            <w:tcW w:type="dxa" w:w="936"/>
            <w:vAlign w:val="center"/>
            <w:tcMar>
              <w:top w:w="90" w:type="dxa"/>
              <w:start w:w="100" w:type="dxa"/>
              <w:bottom w:w="90" w:type="dxa"/>
              <w:end w:w="100" w:type="dxa"/>
            </w:tcMar>
            <w:shd w:fill="F2F6FA"/>
          </w:tcPr>
          <w:p>
            <w:pPr>
              <w:spacing w:after="0" w:line="240" w:lineRule="auto"/>
              <w:jc w:val="center"/>
            </w:pPr>
            <w:r>
              <w:rPr>
                <w:color w:val="232D37"/>
                <w:sz w:val="13"/>
              </w:rPr>
              <w:t>AMC</w:t>
            </w:r>
          </w:p>
        </w:tc>
        <w:tc>
          <w:tcPr>
            <w:tcW w:type="dxa" w:w="1512"/>
            <w:vAlign w:val="center"/>
            <w:tcMar>
              <w:top w:w="90" w:type="dxa"/>
              <w:start w:w="100" w:type="dxa"/>
              <w:bottom w:w="90" w:type="dxa"/>
              <w:end w:w="100" w:type="dxa"/>
            </w:tcMar>
            <w:shd w:fill="F2F6FA"/>
          </w:tcPr>
          <w:p>
            <w:pPr>
              <w:spacing w:after="0" w:line="240" w:lineRule="auto"/>
              <w:jc w:val="center"/>
            </w:pPr>
            <w:r>
              <w:rPr>
                <w:color w:val="232D37"/>
                <w:sz w:val="13"/>
              </w:rPr>
              <w:t>AMC/CMC</w:t>
            </w:r>
          </w:p>
        </w:tc>
        <w:tc>
          <w:tcPr>
            <w:tcW w:type="dxa" w:w="1944"/>
            <w:vAlign w:val="center"/>
            <w:tcMar>
              <w:top w:w="90" w:type="dxa"/>
              <w:start w:w="100" w:type="dxa"/>
              <w:bottom w:w="90" w:type="dxa"/>
              <w:end w:w="100" w:type="dxa"/>
            </w:tcMar>
            <w:shd w:fill="F2F6FA"/>
          </w:tcPr>
          <w:p>
            <w:pPr>
              <w:spacing w:after="0" w:line="240" w:lineRule="auto"/>
              <w:jc w:val="center"/>
            </w:pPr>
            <w:r>
              <w:rPr>
                <w:color w:val="232D37"/>
                <w:sz w:val="13"/>
              </w:rPr>
              <w:t>Assets x rate</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shd w:fill="F2F6FA"/>
          </w:tcPr>
          <w:p>
            <w:pPr>
              <w:spacing w:after="0" w:line="240" w:lineRule="auto"/>
              <w:jc w:val="center"/>
            </w:pPr>
            <w:r>
              <w:rPr>
                <w:color w:val="232D37"/>
                <w:sz w:val="13"/>
              </w:rPr>
              <w:t>Engineering</w:t>
            </w:r>
          </w:p>
        </w:tc>
      </w:tr>
      <w:tr>
        <w:tc>
          <w:tcPr>
            <w:tcW w:type="dxa" w:w="936"/>
            <w:vAlign w:val="center"/>
            <w:tcMar>
              <w:top w:w="90" w:type="dxa"/>
              <w:start w:w="100" w:type="dxa"/>
              <w:bottom w:w="90" w:type="dxa"/>
              <w:end w:w="100" w:type="dxa"/>
            </w:tcMar>
          </w:tcPr>
          <w:p>
            <w:pPr>
              <w:spacing w:after="0" w:line="240" w:lineRule="auto"/>
              <w:jc w:val="center"/>
            </w:pPr>
            <w:r>
              <w:rPr>
                <w:color w:val="232D37"/>
                <w:sz w:val="13"/>
              </w:rPr>
              <w:t>R&amp;M</w:t>
            </w:r>
          </w:p>
        </w:tc>
        <w:tc>
          <w:tcPr>
            <w:tcW w:type="dxa" w:w="1512"/>
            <w:vAlign w:val="center"/>
            <w:tcMar>
              <w:top w:w="90" w:type="dxa"/>
              <w:start w:w="100" w:type="dxa"/>
              <w:bottom w:w="90" w:type="dxa"/>
              <w:end w:w="100" w:type="dxa"/>
            </w:tcMar>
          </w:tcPr>
          <w:p>
            <w:pPr>
              <w:spacing w:after="0" w:line="240" w:lineRule="auto"/>
              <w:jc w:val="center"/>
            </w:pPr>
            <w:r>
              <w:rPr>
                <w:color w:val="232D37"/>
                <w:sz w:val="13"/>
              </w:rPr>
              <w:t>Repairs</w:t>
            </w:r>
          </w:p>
        </w:tc>
        <w:tc>
          <w:tcPr>
            <w:tcW w:type="dxa" w:w="1944"/>
            <w:vAlign w:val="center"/>
            <w:tcMar>
              <w:top w:w="90" w:type="dxa"/>
              <w:start w:w="100" w:type="dxa"/>
              <w:bottom w:w="90" w:type="dxa"/>
              <w:end w:w="100" w:type="dxa"/>
            </w:tcMar>
          </w:tcPr>
          <w:p>
            <w:pPr>
              <w:spacing w:after="0" w:line="240" w:lineRule="auto"/>
              <w:jc w:val="center"/>
            </w:pPr>
            <w:r>
              <w:rPr>
                <w:color w:val="232D37"/>
                <w:sz w:val="13"/>
              </w:rPr>
              <w:t>Plan + risk</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tcPr>
          <w:p>
            <w:pPr>
              <w:spacing w:after="0" w:line="240" w:lineRule="auto"/>
              <w:jc w:val="center"/>
            </w:pPr>
            <w:r>
              <w:rPr>
                <w:color w:val="232D37"/>
                <w:sz w:val="13"/>
              </w:rPr>
              <w:t>Facilities</w:t>
            </w:r>
          </w:p>
        </w:tc>
      </w:tr>
      <w:tr>
        <w:tc>
          <w:tcPr>
            <w:tcW w:type="dxa" w:w="936"/>
            <w:vAlign w:val="center"/>
            <w:tcMar>
              <w:top w:w="90" w:type="dxa"/>
              <w:start w:w="100" w:type="dxa"/>
              <w:bottom w:w="90" w:type="dxa"/>
              <w:end w:w="100" w:type="dxa"/>
            </w:tcMar>
            <w:shd w:fill="F2F6FA"/>
          </w:tcPr>
          <w:p>
            <w:pPr>
              <w:spacing w:after="0" w:line="240" w:lineRule="auto"/>
              <w:jc w:val="center"/>
            </w:pPr>
            <w:r>
              <w:rPr>
                <w:color w:val="232D37"/>
                <w:sz w:val="13"/>
              </w:rPr>
              <w:t>CAPEX</w:t>
            </w:r>
          </w:p>
        </w:tc>
        <w:tc>
          <w:tcPr>
            <w:tcW w:type="dxa" w:w="1512"/>
            <w:vAlign w:val="center"/>
            <w:tcMar>
              <w:top w:w="90" w:type="dxa"/>
              <w:start w:w="100" w:type="dxa"/>
              <w:bottom w:w="90" w:type="dxa"/>
              <w:end w:w="100" w:type="dxa"/>
            </w:tcMar>
            <w:shd w:fill="F2F6FA"/>
          </w:tcPr>
          <w:p>
            <w:pPr>
              <w:spacing w:after="0" w:line="240" w:lineRule="auto"/>
              <w:jc w:val="center"/>
            </w:pPr>
            <w:r>
              <w:rPr>
                <w:color w:val="232D37"/>
                <w:sz w:val="13"/>
              </w:rPr>
              <w:t>Projects/assets</w:t>
            </w:r>
          </w:p>
        </w:tc>
        <w:tc>
          <w:tcPr>
            <w:tcW w:type="dxa" w:w="1944"/>
            <w:vAlign w:val="center"/>
            <w:tcMar>
              <w:top w:w="90" w:type="dxa"/>
              <w:start w:w="100" w:type="dxa"/>
              <w:bottom w:w="90" w:type="dxa"/>
              <w:end w:w="100" w:type="dxa"/>
            </w:tcMar>
            <w:shd w:fill="F2F6FA"/>
          </w:tcPr>
          <w:p>
            <w:pPr>
              <w:spacing w:after="0" w:line="240" w:lineRule="auto"/>
              <w:jc w:val="center"/>
            </w:pPr>
            <w:r>
              <w:rPr>
                <w:color w:val="232D37"/>
                <w:sz w:val="13"/>
              </w:rPr>
              <w:t>Approved project</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152"/>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24"/>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80"/>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008"/>
            <w:vAlign w:val="center"/>
            <w:tcMar>
              <w:top w:w="90" w:type="dxa"/>
              <w:start w:w="100" w:type="dxa"/>
              <w:bottom w:w="90" w:type="dxa"/>
              <w:end w:w="100" w:type="dxa"/>
            </w:tcMar>
            <w:shd w:fill="F2F6FA"/>
          </w:tcPr>
          <w:p>
            <w:pPr>
              <w:spacing w:after="0" w:line="240" w:lineRule="auto"/>
              <w:jc w:val="center"/>
            </w:pPr>
            <w:r>
              <w:rPr>
                <w:color w:val="232D37"/>
                <w:sz w:val="13"/>
              </w:rPr>
              <w:t>[value]</w:t>
            </w:r>
          </w:p>
        </w:tc>
        <w:tc>
          <w:tcPr>
            <w:tcW w:type="dxa" w:w="1296"/>
            <w:vAlign w:val="center"/>
            <w:tcMar>
              <w:top w:w="90" w:type="dxa"/>
              <w:start w:w="100" w:type="dxa"/>
              <w:bottom w:w="90" w:type="dxa"/>
              <w:end w:w="100" w:type="dxa"/>
            </w:tcMar>
            <w:shd w:fill="F2F6FA"/>
          </w:tcPr>
          <w:p>
            <w:pPr>
              <w:spacing w:after="0" w:line="240" w:lineRule="auto"/>
              <w:jc w:val="center"/>
            </w:pPr>
            <w:r>
              <w:rPr>
                <w:color w:val="232D37"/>
                <w:sz w:val="13"/>
              </w:rPr>
              <w:t>Projects</w:t>
            </w:r>
          </w:p>
        </w:tc>
      </w:tr>
    </w:tbl>
    <w:p>
      <w:pPr>
        <w:spacing w:after="40"/>
      </w:pPr>
    </w:p>
    <w:p>
      <w:pPr>
        <w:pStyle w:val="Heading1"/>
        <w:keepNext/>
      </w:pPr>
      <w:r>
        <w:t>Appendix B. Example Asset and AMC Control Checklist</w:t>
      </w:r>
    </w:p>
    <w:p>
      <w:pPr>
        <w:pStyle w:val="ListBullet"/>
      </w:pPr>
      <w:r>
        <w:t>Asset is physically verified, uniquely tagged and mapped to the correct functional location.</w:t>
      </w:r>
    </w:p>
    <w:p>
      <w:pPr>
        <w:pStyle w:val="ListBullet"/>
      </w:pPr>
      <w:r>
        <w:t>Make, model, serial, capacity, commissioning, warranty and acquisition documents are complete.</w:t>
      </w:r>
    </w:p>
    <w:p>
      <w:pPr>
        <w:pStyle w:val="ListBullet"/>
      </w:pPr>
      <w:r>
        <w:t>Criticality and business impact are approved; redundancy and standby arrangements are documented.</w:t>
      </w:r>
    </w:p>
    <w:p>
      <w:pPr>
        <w:pStyle w:val="ListBullet"/>
      </w:pPr>
      <w:r>
        <w:t>Maintenance strategy, PM job plan, frequency, safety permit and competency requirements are configured.</w:t>
      </w:r>
    </w:p>
    <w:p>
      <w:pPr>
        <w:pStyle w:val="ListBullet"/>
      </w:pPr>
      <w:r>
        <w:t>AMC scope matches the asset list; additions, deletions and relocations are updated promptly.</w:t>
      </w:r>
    </w:p>
    <w:p>
      <w:pPr>
        <w:pStyle w:val="ListBullet"/>
      </w:pPr>
      <w:r>
        <w:t>Service reports identify asset, date, technician, activities, readings, parts, findings and next action.</w:t>
      </w:r>
    </w:p>
    <w:p>
      <w:pPr>
        <w:pStyle w:val="ListBullet"/>
      </w:pPr>
      <w:r>
        <w:t>Downtime and repeat failures are recorded; root-cause action is completed for defined thresholds.</w:t>
      </w:r>
    </w:p>
    <w:p>
      <w:pPr>
        <w:pStyle w:val="ListBullet"/>
      </w:pPr>
      <w:r>
        <w:t>Invoice value is adjusted for asset changes, missed PM, excess downtime, penalties and excluded spares.</w:t>
      </w:r>
    </w:p>
    <w:p>
      <w:pPr>
        <w:pStyle w:val="ListBullet"/>
      </w:pPr>
      <w:r>
        <w:t>Condition and lifecycle plan support the next budget cycle; obsolete and unsafe assets are escalated.</w:t>
      </w:r>
    </w:p>
    <w:p>
      <w:pPr>
        <w:pStyle w:val="ListBullet"/>
      </w:pPr>
      <w:r>
        <w:t>Disposal records include approval, data removal where relevant, sale/scrap/e-waste evidence and accounting update.</w:t>
      </w:r>
    </w:p>
    <w:p>
      <w:pPr>
        <w:pStyle w:val="Heading1"/>
        <w:keepNext/>
      </w:pPr>
      <w:r>
        <w:t>Appendix C. Developer Handover Checklist</w:t>
      </w:r>
    </w:p>
    <w:p>
      <w:pPr>
        <w:pStyle w:val="ListBullet"/>
      </w:pPr>
      <w:r>
        <w:t>Approved process maps and service catalogue with variants by site type and criticality.</w:t>
      </w:r>
    </w:p>
    <w:p>
      <w:pPr>
        <w:pStyle w:val="ListBullet"/>
      </w:pPr>
      <w:r>
        <w:t>Field-level data dictionary with mandatory, optional, derived, confidential and system-generated attributes.</w:t>
      </w:r>
    </w:p>
    <w:p>
      <w:pPr>
        <w:pStyle w:val="ListBullet"/>
      </w:pPr>
      <w:r>
        <w:t>Organisation, location, finance and role hierarchy rules, including effective dates and delegation.</w:t>
      </w:r>
    </w:p>
    <w:p>
      <w:pPr>
        <w:pStyle w:val="ListBullet"/>
      </w:pPr>
      <w:r>
        <w:t>Workflow diagrams for request, incident, PM, work order, inventory, procurement, invoice, budget, project and compliance.</w:t>
      </w:r>
    </w:p>
    <w:p>
      <w:pPr>
        <w:pStyle w:val="ListBullet"/>
      </w:pPr>
      <w:r>
        <w:t>SLA calendars, priority matrix, escalation rules, notifications and communication templates.</w:t>
      </w:r>
    </w:p>
    <w:p>
      <w:pPr>
        <w:pStyle w:val="ListBullet"/>
      </w:pPr>
      <w:r>
        <w:t>API catalogue, source/target system, data owner, frequency, error handling and reconciliation controls.</w:t>
      </w:r>
    </w:p>
    <w:p>
      <w:pPr>
        <w:pStyle w:val="ListBullet"/>
      </w:pPr>
      <w:r>
        <w:t>Reports, dashboard wireframes, KPI definitions, drill-down needs and access rules.</w:t>
      </w:r>
    </w:p>
    <w:p>
      <w:pPr>
        <w:pStyle w:val="ListBullet"/>
      </w:pPr>
      <w:r>
        <w:t>Non-functional requirements: scale, performance, availability, security, privacy, retention, audit, multilingual and mobile/offline.</w:t>
      </w:r>
    </w:p>
    <w:p>
      <w:pPr>
        <w:pStyle w:val="ListBullet"/>
      </w:pPr>
      <w:r>
        <w:t>Migration scope, cleansing rules, opening balances, document migration and reconciliation sign-off.</w:t>
      </w:r>
    </w:p>
    <w:p>
      <w:pPr>
        <w:pStyle w:val="ListBullet"/>
      </w:pPr>
      <w:r>
        <w:t>Test scenarios covering normal, exception, emergency, cross-entity, multi-currency, closure and audit cases.</w:t>
      </w:r>
    </w:p>
    <w:p>
      <w:pPr>
        <w:pStyle w:val="ListBullet"/>
      </w:pPr>
      <w:r>
        <w:t>Operating model for configuration, releases, support, data stewardship and continuous improvement.</w:t>
      </w:r>
    </w:p>
    <w:tbl>
      <w:tblPr>
        <w:tblW w:type="auto" w:w="0"/>
        <w:jc w:val="center"/>
        <w:tblLook w:firstColumn="1" w:firstRow="1" w:lastColumn="0" w:lastRow="0" w:noHBand="0" w:noVBand="1" w:val="04A0"/>
      </w:tblPr>
      <w:tblGrid>
        <w:gridCol w:w="10224"/>
      </w:tblGrid>
      <w:tr>
        <w:tc>
          <w:tcPr>
            <w:tcW w:type="dxa" w:w="10224"/>
            <w:shd w:fill="DDEBF7"/>
            <w:tcMar>
              <w:top w:w="150" w:type="dxa"/>
              <w:start w:w="180" w:type="dxa"/>
              <w:bottom w:w="150" w:type="dxa"/>
              <w:end w:w="180" w:type="dxa"/>
            </w:tcMar>
          </w:tcPr>
          <w:p>
            <w:r>
              <w:rPr>
                <w:b/>
                <w:color w:val="17365D"/>
                <w:sz w:val="21"/>
              </w:rPr>
              <w:t>Final principle</w:t>
              <w:br/>
            </w:r>
            <w:r>
              <w:rPr>
                <w:color w:val="2D3741"/>
                <w:sz w:val="18"/>
              </w:rPr>
              <w:t>Do not build separate disconnected modules for branches, corporate offices, assets, vendors, budgets and tickets. Build one governed platform in which the organisation and location hierarchy is the spine; service, asset, commercial, financial, compliance and experience records connect to that spine through stable master data and auditable workflows.</w:t>
            </w:r>
          </w:p>
        </w:tc>
      </w:tr>
    </w:tbl>
    <w:p>
      <w:pPr>
        <w:spacing w:after="40"/>
      </w:pPr>
    </w:p>
    <w:p>
      <w:r>
        <w:br w:type="page"/>
      </w:r>
    </w:p>
    <w:p>
      <w:pPr>
        <w:pStyle w:val="Heading1"/>
        <w:keepNext/>
      </w:pPr>
      <w:r>
        <w:t>PART II. COMPREHENSIVE ENTERPRISE ADMINISTRATION SERVICES</w:t>
      </w:r>
    </w:p>
    <w:p>
      <w:pPr>
        <w:spacing w:after="120" w:line="264" w:lineRule="auto"/>
      </w:pPr>
      <w:r>
        <w:t>This part expands the blueprint from core facilities and infrastructure into the complete enterprise administration operating model. The modules below are connected to the same organisation, location, employee, vendor, contract, budget, asset, inventory, approval and finance masters described in Part I. The design is intended to avoid separate administrative silos.</w:t>
      </w:r>
    </w:p>
    <w:tbl>
      <w:tblPr>
        <w:tblW w:type="auto" w:w="0"/>
        <w:tblLook w:firstColumn="1" w:firstRow="1" w:lastColumn="0" w:lastRow="0" w:noHBand="0" w:noVBand="1" w:val="04A0"/>
      </w:tblPr>
      <w:tblGrid>
        <w:gridCol w:w="10224"/>
      </w:tblGrid>
      <w:tr>
        <w:tc>
          <w:tcPr>
            <w:tcW w:type="dxa" w:w="10224"/>
            <w:shd w:fill="DDEBF7"/>
            <w:tcMar>
              <w:top w:w="150" w:type="dxa"/>
              <w:start w:w="180" w:type="dxa"/>
              <w:bottom w:w="150" w:type="dxa"/>
              <w:end w:w="180" w:type="dxa"/>
            </w:tcMar>
          </w:tcPr>
          <w:p>
            <w:r>
              <w:rPr>
                <w:b/>
                <w:color w:val="17365D"/>
                <w:sz w:val="21"/>
              </w:rPr>
              <w:t>Coverage principle</w:t>
              <w:br/>
            </w:r>
            <w:r>
              <w:rPr>
                <w:sz w:val="18"/>
              </w:rPr>
              <w:t>A service is not considered covered merely because its name appears in a catalogue. Each module below defines request data, policy and entitlement, approvals, sourcing and booking, operations, employee/vendor communication, financial settlement, compliance evidence, exceptions, closure and reporting.</w:t>
            </w:r>
          </w:p>
        </w:tc>
      </w:tr>
    </w:tbl>
    <w:p/>
    <w:p>
      <w:pPr>
        <w:pStyle w:val="Heading1"/>
        <w:keepNext/>
      </w:pPr>
      <w:r>
        <w:t>14. Corporate Travel Management</w:t>
      </w:r>
    </w:p>
    <w:p>
      <w:pPr>
        <w:pStyle w:val="Heading2"/>
        <w:keepNext/>
      </w:pPr>
      <w:r>
        <w:t>14.1 Travel policy and entitlement engine</w:t>
      </w:r>
    </w:p>
    <w:p>
      <w:pPr>
        <w:pStyle w:val="ListBullet"/>
      </w:pPr>
      <w:r>
        <w:t>Employee grade, role, legal entity, employment type, home location, business unit and traveller category drive entitlement.</w:t>
      </w:r>
    </w:p>
    <w:p>
      <w:pPr>
        <w:pStyle w:val="ListBullet"/>
      </w:pPr>
      <w:r>
        <w:t>Domestic, international, same-day, overnight, long-stay, project, training, relocation, emergency and group travel are separately configurable.</w:t>
      </w:r>
    </w:p>
    <w:p>
      <w:pPr>
        <w:pStyle w:val="ListBullet"/>
      </w:pPr>
      <w:r>
        <w:t>Eligible transport modes, class of travel, preferred carriers, lowest-logical-fare rule, advance-booking window and fare tolerance are policy parameters.</w:t>
      </w:r>
    </w:p>
    <w:p>
      <w:pPr>
        <w:pStyle w:val="ListBullet"/>
      </w:pPr>
      <w:r>
        <w:t>Hotel city category, star/category, nightly cap, taxes, meals, internet, laundry, early check-in and late check-out limits are configurable.</w:t>
      </w:r>
    </w:p>
    <w:p>
      <w:pPr>
        <w:pStyle w:val="ListBullet"/>
      </w:pPr>
      <w:r>
        <w:t>Per diem, meal allowance, local conveyance, mileage, foreign exchange, travel advance and corporate-card rules are linked to country and duration.</w:t>
      </w:r>
    </w:p>
    <w:p>
      <w:pPr>
        <w:pStyle w:val="ListBullet"/>
      </w:pPr>
      <w:r>
        <w:t>Personal deviation, companion travel, weekend stay, loyalty benefits, unused ticket, cancellation, no-show and exception ownership must be explicit.</w:t>
      </w:r>
    </w:p>
    <w:p>
      <w:pPr>
        <w:pStyle w:val="ListBullet"/>
      </w:pPr>
      <w:r>
        <w:t>Business continuity, destination risk, visa, passport validity, insurance and medical/accessibility support are evaluated before approval.</w:t>
      </w:r>
    </w:p>
    <w:p>
      <w:pPr>
        <w:pStyle w:val="Heading2"/>
        <w:keepNext/>
      </w:pPr>
      <w:r>
        <w:t>14.2 Travel request master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Data group</w:t>
            </w:r>
          </w:p>
        </w:tc>
        <w:tc>
          <w:tcPr>
            <w:tcW w:type="dxa" w:w="5112"/>
            <w:shd w:fill="17365D"/>
            <w:tcMar>
              <w:top w:w="90" w:type="dxa"/>
              <w:start w:w="100" w:type="dxa"/>
              <w:bottom w:w="90" w:type="dxa"/>
              <w:end w:w="100" w:type="dxa"/>
            </w:tcMar>
            <w:vAlign w:val="center"/>
          </w:tcPr>
          <w:p>
            <w:pPr>
              <w:jc w:val="center"/>
            </w:pPr>
            <w:r>
              <w:rPr>
                <w:b/>
                <w:color w:val="FFFFFF"/>
                <w:sz w:val="15"/>
              </w:rPr>
              <w:t>Required details</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Traveller</w:t>
            </w:r>
          </w:p>
        </w:tc>
        <w:tc>
          <w:tcPr>
            <w:tcW w:type="dxa" w:w="8424"/>
            <w:tcMar>
              <w:top w:w="90" w:type="dxa"/>
              <w:start w:w="100" w:type="dxa"/>
              <w:bottom w:w="90" w:type="dxa"/>
              <w:end w:w="100" w:type="dxa"/>
            </w:tcMar>
            <w:vAlign w:val="center"/>
          </w:tcPr>
          <w:p>
            <w:pPr>
              <w:spacing w:after="0" w:line="240" w:lineRule="auto"/>
              <w:jc w:val="left"/>
            </w:pPr>
            <w:r>
              <w:rPr>
                <w:color w:val="232D37"/>
                <w:sz w:val="15"/>
              </w:rPr>
              <w:t>Employee/guest ID, name as per document, contact, grade, department, cost centre, manager and emergency contact</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Purpose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Business purpose, customer/project/event/training reference, benefit, billable/non-billable and confidentiality</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Itinerary</w:t>
            </w:r>
          </w:p>
        </w:tc>
        <w:tc>
          <w:tcPr>
            <w:tcW w:type="dxa" w:w="8424"/>
            <w:tcMar>
              <w:top w:w="90" w:type="dxa"/>
              <w:start w:w="100" w:type="dxa"/>
              <w:bottom w:w="90" w:type="dxa"/>
              <w:end w:w="100" w:type="dxa"/>
            </w:tcMar>
            <w:vAlign w:val="center"/>
          </w:tcPr>
          <w:p>
            <w:pPr>
              <w:spacing w:after="0" w:line="240" w:lineRule="auto"/>
              <w:jc w:val="left"/>
            </w:pPr>
            <w:r>
              <w:rPr>
                <w:color w:val="232D37"/>
                <w:sz w:val="15"/>
              </w:rPr>
              <w:t>Origin, destination, dates, preferred time, one-way/return/multi-city, flexibility and mode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Stay</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Hotel/guest house need, check-in/out, city area, room type, sharing consent and special requirement</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Ground support</w:t>
            </w:r>
          </w:p>
        </w:tc>
        <w:tc>
          <w:tcPr>
            <w:tcW w:type="dxa" w:w="8424"/>
            <w:tcMar>
              <w:top w:w="90" w:type="dxa"/>
              <w:start w:w="100" w:type="dxa"/>
              <w:bottom w:w="90" w:type="dxa"/>
              <w:end w:w="100" w:type="dxa"/>
            </w:tcMar>
            <w:vAlign w:val="center"/>
          </w:tcPr>
          <w:p>
            <w:pPr>
              <w:spacing w:after="0" w:line="240" w:lineRule="auto"/>
              <w:jc w:val="left"/>
            </w:pPr>
            <w:r>
              <w:rPr>
                <w:color w:val="232D37"/>
                <w:sz w:val="15"/>
              </w:rPr>
              <w:t>Airport transfer, local cab, self-drive, shuttle, parking and meet-and-assist</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International</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Passport, visa, invitation, insurance, foreign exchange, vaccination/entry and destination-risk acknowledgement</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Cost</w:t>
            </w:r>
          </w:p>
        </w:tc>
        <w:tc>
          <w:tcPr>
            <w:tcW w:type="dxa" w:w="8424"/>
            <w:tcMar>
              <w:top w:w="90" w:type="dxa"/>
              <w:start w:w="100" w:type="dxa"/>
              <w:bottom w:w="90" w:type="dxa"/>
              <w:end w:w="100" w:type="dxa"/>
            </w:tcMar>
            <w:vAlign w:val="center"/>
          </w:tcPr>
          <w:p>
            <w:pPr>
              <w:spacing w:after="0" w:line="240" w:lineRule="auto"/>
              <w:jc w:val="left"/>
            </w:pPr>
            <w:r>
              <w:rPr>
                <w:color w:val="232D37"/>
                <w:sz w:val="15"/>
              </w:rPr>
              <w:t>Estimated fare, hotel, transport, per diem, fees, project/client allocation and funding source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Exception</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Policy deviation, justification, alternatives checked and designated exception approver</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Documents</w:t>
            </w:r>
          </w:p>
        </w:tc>
        <w:tc>
          <w:tcPr>
            <w:tcW w:type="dxa" w:w="8424"/>
            <w:tcMar>
              <w:top w:w="90" w:type="dxa"/>
              <w:start w:w="100" w:type="dxa"/>
              <w:bottom w:w="90" w:type="dxa"/>
              <w:end w:w="100" w:type="dxa"/>
            </w:tcMar>
            <w:vAlign w:val="center"/>
          </w:tcPr>
          <w:p>
            <w:pPr>
              <w:spacing w:after="0" w:line="240" w:lineRule="auto"/>
              <w:jc w:val="left"/>
            </w:pPr>
            <w:r>
              <w:rPr>
                <w:color w:val="232D37"/>
                <w:sz w:val="15"/>
              </w:rPr>
              <w:t>Agenda, customer invitation, event nomination, travel document, quotation and medical/accessibility request</w:t>
            </w:r>
          </w:p>
        </w:tc>
      </w:tr>
    </w:tbl>
    <w:p>
      <w:pPr>
        <w:spacing w:after="40"/>
      </w:pPr>
    </w:p>
    <w:p>
      <w:pPr>
        <w:pStyle w:val="Heading2"/>
        <w:keepNext/>
      </w:pPr>
      <w:r>
        <w:t>14.3 End-to-end travel workflow</w:t>
      </w:r>
    </w:p>
    <w:p>
      <w:pPr>
        <w:pStyle w:val="ListNumber"/>
      </w:pPr>
      <w:r>
        <w:t>Request submitted by traveller, delegate, manager, event owner, HR or project coordinator.</w:t>
      </w:r>
    </w:p>
    <w:p>
      <w:pPr>
        <w:pStyle w:val="ListNumber"/>
      </w:pPr>
      <w:r>
        <w:t>Platform validates identity, policy, duplicate travel, leave/holiday conflict, travel-document validity, budget and destination risk.</w:t>
      </w:r>
    </w:p>
    <w:p>
      <w:pPr>
        <w:pStyle w:val="ListNumber"/>
      </w:pPr>
      <w:r>
        <w:t>Platform asks for all missing information in one consolidated message and displays the interpreted itinerary.</w:t>
      </w:r>
    </w:p>
    <w:p>
      <w:pPr>
        <w:pStyle w:val="ListNumber"/>
      </w:pPr>
      <w:r>
        <w:t>Approval routes to manager, cost-centre/project owner, business head, international travel authority and exception approver as applicable.</w:t>
      </w:r>
    </w:p>
    <w:p>
      <w:pPr>
        <w:pStyle w:val="ListNumber"/>
      </w:pPr>
      <w:r>
        <w:t>Approved request goes to online booking tool or travel management company with policy and preferred-supplier instructions.</w:t>
      </w:r>
    </w:p>
    <w:p>
      <w:pPr>
        <w:pStyle w:val="ListNumber"/>
      </w:pPr>
      <w:r>
        <w:t>Options are compared on total trip cost, timing, stops, changeability, traveller safety and business suitability, not fare alone.</w:t>
      </w:r>
    </w:p>
    <w:p>
      <w:pPr>
        <w:pStyle w:val="ListNumber"/>
      </w:pPr>
      <w:r>
        <w:t>Traveller selects within entitlement; out-of-policy selection records reason and approval.</w:t>
      </w:r>
    </w:p>
    <w:p>
      <w:pPr>
        <w:pStyle w:val="ListNumber"/>
      </w:pPr>
      <w:r>
        <w:t>Tickets, hotel, transfer, visa, insurance and itinerary are confirmed under one trip ID.</w:t>
      </w:r>
    </w:p>
    <w:p>
      <w:pPr>
        <w:pStyle w:val="ListNumber"/>
      </w:pPr>
      <w:r>
        <w:t>Changes and cancellations recalculate cost, credits, penalties and downstream services automatically.</w:t>
      </w:r>
    </w:p>
    <w:p>
      <w:pPr>
        <w:pStyle w:val="ListNumber"/>
      </w:pPr>
      <w:r>
        <w:t>Traveller receives itinerary, emergency contacts, destination guidance, approval and expense instructions.</w:t>
      </w:r>
    </w:p>
    <w:p>
      <w:pPr>
        <w:pStyle w:val="ListNumber"/>
      </w:pPr>
      <w:r>
        <w:t>After travel, supplier invoices, card transactions, advances and employee claims are reconciled to trip ID.</w:t>
      </w:r>
    </w:p>
    <w:p>
      <w:pPr>
        <w:pStyle w:val="ListNumber"/>
      </w:pPr>
      <w:r>
        <w:t>Trip closes only after unused credits, advances, exceptions, expense claim and client/project chargeback are addressed.</w:t>
      </w:r>
    </w:p>
    <w:p>
      <w:pPr>
        <w:pStyle w:val="Heading2"/>
        <w:keepNext/>
      </w:pPr>
      <w:r>
        <w:t>14.4 Group and event travel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Capability</w:t>
            </w:r>
          </w:p>
        </w:tc>
        <w:tc>
          <w:tcPr>
            <w:tcW w:type="dxa" w:w="5112"/>
            <w:shd w:fill="17365D"/>
            <w:tcMar>
              <w:top w:w="90" w:type="dxa"/>
              <w:start w:w="100" w:type="dxa"/>
              <w:bottom w:w="90" w:type="dxa"/>
              <w:end w:w="100" w:type="dxa"/>
            </w:tcMar>
            <w:vAlign w:val="center"/>
          </w:tcPr>
          <w:p>
            <w:pPr>
              <w:jc w:val="center"/>
            </w:pPr>
            <w:r>
              <w:rPr>
                <w:b/>
                <w:color w:val="FFFFFF"/>
                <w:sz w:val="15"/>
              </w:rPr>
              <w:t>Detailed requirement</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Group creation</w:t>
            </w:r>
          </w:p>
        </w:tc>
        <w:tc>
          <w:tcPr>
            <w:tcW w:type="dxa" w:w="8280"/>
            <w:tcMar>
              <w:top w:w="90" w:type="dxa"/>
              <w:start w:w="100" w:type="dxa"/>
              <w:bottom w:w="90" w:type="dxa"/>
              <w:end w:w="100" w:type="dxa"/>
            </w:tcMar>
            <w:vAlign w:val="center"/>
          </w:tcPr>
          <w:p>
            <w:pPr>
              <w:spacing w:after="0" w:line="240" w:lineRule="auto"/>
              <w:jc w:val="left"/>
            </w:pPr>
            <w:r>
              <w:rPr>
                <w:color w:val="232D37"/>
                <w:sz w:val="15"/>
              </w:rPr>
              <w:t>Event/trip ID, sponsor, purpose, eligible population, dates, destinations, budget and coordinator</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Nomination</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Employee nomination, manager approval, replacement, waitlist and cancellation rules</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Traveller readiness</w:t>
            </w:r>
          </w:p>
        </w:tc>
        <w:tc>
          <w:tcPr>
            <w:tcW w:type="dxa" w:w="8280"/>
            <w:tcMar>
              <w:top w:w="90" w:type="dxa"/>
              <w:start w:w="100" w:type="dxa"/>
              <w:bottom w:w="90" w:type="dxa"/>
              <w:end w:w="100" w:type="dxa"/>
            </w:tcMar>
            <w:vAlign w:val="center"/>
          </w:tcPr>
          <w:p>
            <w:pPr>
              <w:spacing w:after="0" w:line="240" w:lineRule="auto"/>
              <w:jc w:val="left"/>
            </w:pPr>
            <w:r>
              <w:rPr>
                <w:color w:val="232D37"/>
                <w:sz w:val="15"/>
              </w:rPr>
              <w:t>Name validation, passport/visa, insurance, dietary, accessibility, medical and emergency data</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Multi-origin planning</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Departure cities, route clusters, flight blocks, rail/coach options and consolidated arrivals</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Accommodation</w:t>
            </w:r>
          </w:p>
        </w:tc>
        <w:tc>
          <w:tcPr>
            <w:tcW w:type="dxa" w:w="8280"/>
            <w:tcMar>
              <w:top w:w="90" w:type="dxa"/>
              <w:start w:w="100" w:type="dxa"/>
              <w:bottom w:w="90" w:type="dxa"/>
              <w:end w:w="100" w:type="dxa"/>
            </w:tcMar>
            <w:vAlign w:val="center"/>
          </w:tcPr>
          <w:p>
            <w:pPr>
              <w:spacing w:after="0" w:line="240" w:lineRule="auto"/>
              <w:jc w:val="left"/>
            </w:pPr>
            <w:r>
              <w:rPr>
                <w:color w:val="232D37"/>
                <w:sz w:val="15"/>
              </w:rPr>
              <w:t>Rooming list, sharing, room category, early/late movement, VIP protocol and hotel helpdesk</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Movement</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Airport transfers, coaches, route manifests, baggage, headcount, live changes and missed connection</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Communication</w:t>
            </w:r>
          </w:p>
        </w:tc>
        <w:tc>
          <w:tcPr>
            <w:tcW w:type="dxa" w:w="8280"/>
            <w:tcMar>
              <w:top w:w="90" w:type="dxa"/>
              <w:start w:w="100" w:type="dxa"/>
              <w:bottom w:w="90" w:type="dxa"/>
              <w:end w:w="100" w:type="dxa"/>
            </w:tcMar>
            <w:vAlign w:val="center"/>
          </w:tcPr>
          <w:p>
            <w:pPr>
              <w:spacing w:after="0" w:line="240" w:lineRule="auto"/>
              <w:jc w:val="left"/>
            </w:pPr>
            <w:r>
              <w:rPr>
                <w:color w:val="232D37"/>
                <w:sz w:val="15"/>
              </w:rPr>
              <w:t>Personal itinerary, group announcements, reminders, document requests and emergency broadcasts</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Commercials</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Group fare, deposits, attrition, cancellation, complimentary seats, room nights and reconciliation</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Safety</w:t>
            </w:r>
          </w:p>
        </w:tc>
        <w:tc>
          <w:tcPr>
            <w:tcW w:type="dxa" w:w="8280"/>
            <w:tcMar>
              <w:top w:w="90" w:type="dxa"/>
              <w:start w:w="100" w:type="dxa"/>
              <w:bottom w:w="90" w:type="dxa"/>
              <w:end w:w="100" w:type="dxa"/>
            </w:tcMar>
            <w:vAlign w:val="center"/>
          </w:tcPr>
          <w:p>
            <w:pPr>
              <w:spacing w:after="0" w:line="240" w:lineRule="auto"/>
              <w:jc w:val="left"/>
            </w:pPr>
            <w:r>
              <w:rPr>
                <w:color w:val="232D37"/>
                <w:sz w:val="15"/>
              </w:rPr>
              <w:t>Traveller tracking, check-in, escalation, missing traveller, emergency support and evacuation</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Closure</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Attendance, no-show, unused ticket, final headcount, claims, vendor invoices and cost per participant</w:t>
            </w:r>
          </w:p>
        </w:tc>
      </w:tr>
    </w:tbl>
    <w:p>
      <w:pPr>
        <w:spacing w:after="40"/>
      </w:pPr>
    </w:p>
    <w:p>
      <w:pPr>
        <w:pStyle w:val="Heading2"/>
        <w:keepNext/>
      </w:pPr>
      <w:r>
        <w:t>14.5 Travel financial control and analytics</w:t>
      </w:r>
    </w:p>
    <w:p>
      <w:pPr>
        <w:pStyle w:val="ListBullet"/>
      </w:pPr>
      <w:r>
        <w:t>Trip-level estimated, committed, ticketed, consumed, cancelled, refunded and final cost.</w:t>
      </w:r>
    </w:p>
    <w:p>
      <w:pPr>
        <w:pStyle w:val="ListBullet"/>
      </w:pPr>
      <w:r>
        <w:t>Airline/hotel credits, unused tickets, refund ageing and re-use before expiry.</w:t>
      </w:r>
    </w:p>
    <w:p>
      <w:pPr>
        <w:pStyle w:val="ListBullet"/>
      </w:pPr>
      <w:r>
        <w:t>Policy compliance, advance-booking behaviour, online adoption, exception reason and approver.</w:t>
      </w:r>
    </w:p>
    <w:p>
      <w:pPr>
        <w:pStyle w:val="ListBullet"/>
      </w:pPr>
      <w:r>
        <w:t>Average ticket price, hotel average daily rate, cost per trip/day/traveller/project and route benchmark.</w:t>
      </w:r>
    </w:p>
    <w:p>
      <w:pPr>
        <w:pStyle w:val="ListBullet"/>
      </w:pPr>
      <w:r>
        <w:t>Agency transaction fees, cancellation charges, no-shows, missed savings and supplier market share.</w:t>
      </w:r>
    </w:p>
    <w:p>
      <w:pPr>
        <w:pStyle w:val="ListBullet"/>
      </w:pPr>
      <w:r>
        <w:t>Travel advance, foreign exchange, corporate card, employee claim and recovery reconciliation.</w:t>
      </w:r>
    </w:p>
    <w:p>
      <w:pPr>
        <w:pStyle w:val="ListBullet"/>
      </w:pPr>
      <w:r>
        <w:t>Carbon emissions by mode, route and traveller, with rail/virtual alternative opportunity where policy permits.</w:t>
      </w:r>
    </w:p>
    <w:p>
      <w:pPr>
        <w:pStyle w:val="Heading1"/>
        <w:keepNext/>
      </w:pPr>
      <w:r>
        <w:t>15. Meetings, Conferences, Events and Hospitality</w:t>
      </w:r>
    </w:p>
    <w:p>
      <w:pPr>
        <w:pStyle w:val="Heading2"/>
        <w:keepNext/>
      </w:pPr>
      <w:r>
        <w:t>15.1 Event types and intake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90" w:type="dxa"/>
              <w:start w:w="100" w:type="dxa"/>
              <w:bottom w:w="90" w:type="dxa"/>
              <w:end w:w="100" w:type="dxa"/>
            </w:tcMar>
            <w:vAlign w:val="center"/>
          </w:tcPr>
          <w:p>
            <w:pPr>
              <w:jc w:val="center"/>
            </w:pPr>
            <w:r>
              <w:rPr>
                <w:b/>
                <w:color w:val="FFFFFF"/>
                <w:sz w:val="15"/>
              </w:rPr>
              <w:t>Event class</w:t>
            </w:r>
          </w:p>
        </w:tc>
        <w:tc>
          <w:tcPr>
            <w:tcW w:type="dxa" w:w="3408"/>
            <w:shd w:fill="17365D"/>
            <w:tcMar>
              <w:top w:w="90" w:type="dxa"/>
              <w:start w:w="100" w:type="dxa"/>
              <w:bottom w:w="90" w:type="dxa"/>
              <w:end w:w="100" w:type="dxa"/>
            </w:tcMar>
            <w:vAlign w:val="center"/>
          </w:tcPr>
          <w:p>
            <w:pPr>
              <w:jc w:val="center"/>
            </w:pPr>
            <w:r>
              <w:rPr>
                <w:b/>
                <w:color w:val="FFFFFF"/>
                <w:sz w:val="15"/>
              </w:rPr>
              <w:t>Examples</w:t>
            </w:r>
          </w:p>
        </w:tc>
        <w:tc>
          <w:tcPr>
            <w:tcW w:type="dxa" w:w="3408"/>
            <w:shd w:fill="17365D"/>
            <w:tcMar>
              <w:top w:w="90" w:type="dxa"/>
              <w:start w:w="100" w:type="dxa"/>
              <w:bottom w:w="90" w:type="dxa"/>
              <w:end w:w="100" w:type="dxa"/>
            </w:tcMar>
            <w:vAlign w:val="center"/>
          </w:tcPr>
          <w:p>
            <w:pPr>
              <w:jc w:val="center"/>
            </w:pPr>
            <w:r>
              <w:rPr>
                <w:b/>
                <w:color w:val="FFFFFF"/>
                <w:sz w:val="15"/>
              </w:rPr>
              <w:t>Additional controls</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Internal meeting</w:t>
            </w:r>
          </w:p>
        </w:tc>
        <w:tc>
          <w:tcPr>
            <w:tcW w:type="dxa" w:w="4680"/>
            <w:tcMar>
              <w:top w:w="90" w:type="dxa"/>
              <w:start w:w="100" w:type="dxa"/>
              <w:bottom w:w="90" w:type="dxa"/>
              <w:end w:w="100" w:type="dxa"/>
            </w:tcMar>
            <w:vAlign w:val="center"/>
          </w:tcPr>
          <w:p>
            <w:pPr>
              <w:spacing w:after="0" w:line="240" w:lineRule="auto"/>
              <w:jc w:val="left"/>
            </w:pPr>
            <w:r>
              <w:rPr>
                <w:color w:val="232D37"/>
                <w:sz w:val="15"/>
              </w:rPr>
              <w:t>Leadership meeting, review, workshop, training</w:t>
            </w:r>
          </w:p>
        </w:tc>
        <w:tc>
          <w:tcPr>
            <w:tcW w:type="dxa" w:w="3672"/>
            <w:tcMar>
              <w:top w:w="90" w:type="dxa"/>
              <w:start w:w="100" w:type="dxa"/>
              <w:bottom w:w="90" w:type="dxa"/>
              <w:end w:w="100" w:type="dxa"/>
            </w:tcMar>
            <w:vAlign w:val="center"/>
          </w:tcPr>
          <w:p>
            <w:pPr>
              <w:spacing w:after="0" w:line="240" w:lineRule="auto"/>
              <w:jc w:val="left"/>
            </w:pPr>
            <w:r>
              <w:rPr>
                <w:color w:val="232D37"/>
                <w:sz w:val="15"/>
              </w:rPr>
              <w:t>Room, AV, catering, confidentiality and attendee access</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Town hall</w:t>
            </w:r>
          </w:p>
        </w:tc>
        <w:tc>
          <w:tcPr>
            <w:tcW w:type="dxa" w:w="4680"/>
            <w:tcMar>
              <w:top w:w="90" w:type="dxa"/>
              <w:start w:w="100" w:type="dxa"/>
              <w:bottom w:w="90" w:type="dxa"/>
              <w:end w:w="100" w:type="dxa"/>
            </w:tcMar>
            <w:vAlign w:val="center"/>
            <w:shd w:fill="F2F6FA"/>
          </w:tcPr>
          <w:p>
            <w:pPr>
              <w:spacing w:after="0" w:line="240" w:lineRule="auto"/>
              <w:jc w:val="left"/>
            </w:pPr>
            <w:r>
              <w:rPr>
                <w:color w:val="232D37"/>
                <w:sz w:val="15"/>
              </w:rPr>
              <w:t>Enterprise, regional or business-unit gathering</w:t>
            </w:r>
          </w:p>
        </w:tc>
        <w:tc>
          <w:tcPr>
            <w:tcW w:type="dxa" w:w="3672"/>
            <w:tcMar>
              <w:top w:w="90" w:type="dxa"/>
              <w:start w:w="100" w:type="dxa"/>
              <w:bottom w:w="90" w:type="dxa"/>
              <w:end w:w="100" w:type="dxa"/>
            </w:tcMar>
            <w:vAlign w:val="center"/>
            <w:shd w:fill="F2F6FA"/>
          </w:tcPr>
          <w:p>
            <w:pPr>
              <w:spacing w:after="0" w:line="240" w:lineRule="auto"/>
              <w:jc w:val="left"/>
            </w:pPr>
            <w:r>
              <w:rPr>
                <w:color w:val="232D37"/>
                <w:sz w:val="15"/>
              </w:rPr>
              <w:t>Broadcast, capacity, Q&amp;A, branding and crowd management</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Employee event</w:t>
            </w:r>
          </w:p>
        </w:tc>
        <w:tc>
          <w:tcPr>
            <w:tcW w:type="dxa" w:w="4680"/>
            <w:tcMar>
              <w:top w:w="90" w:type="dxa"/>
              <w:start w:w="100" w:type="dxa"/>
              <w:bottom w:w="90" w:type="dxa"/>
              <w:end w:w="100" w:type="dxa"/>
            </w:tcMar>
            <w:vAlign w:val="center"/>
          </w:tcPr>
          <w:p>
            <w:pPr>
              <w:spacing w:after="0" w:line="240" w:lineRule="auto"/>
              <w:jc w:val="left"/>
            </w:pPr>
            <w:r>
              <w:rPr>
                <w:color w:val="232D37"/>
                <w:sz w:val="15"/>
              </w:rPr>
              <w:t>Awards, festival, offsite, team engagement</w:t>
            </w:r>
          </w:p>
        </w:tc>
        <w:tc>
          <w:tcPr>
            <w:tcW w:type="dxa" w:w="3672"/>
            <w:tcMar>
              <w:top w:w="90" w:type="dxa"/>
              <w:start w:w="100" w:type="dxa"/>
              <w:bottom w:w="90" w:type="dxa"/>
              <w:end w:w="100" w:type="dxa"/>
            </w:tcMar>
            <w:vAlign w:val="center"/>
          </w:tcPr>
          <w:p>
            <w:pPr>
              <w:spacing w:after="0" w:line="240" w:lineRule="auto"/>
              <w:jc w:val="left"/>
            </w:pPr>
            <w:r>
              <w:rPr>
                <w:color w:val="232D37"/>
                <w:sz w:val="15"/>
              </w:rPr>
              <w:t>Eligibility, travel, gifts, entertainment and conduct</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Customer event</w:t>
            </w:r>
          </w:p>
        </w:tc>
        <w:tc>
          <w:tcPr>
            <w:tcW w:type="dxa" w:w="4680"/>
            <w:tcMar>
              <w:top w:w="90" w:type="dxa"/>
              <w:start w:w="100" w:type="dxa"/>
              <w:bottom w:w="90" w:type="dxa"/>
              <w:end w:w="100" w:type="dxa"/>
            </w:tcMar>
            <w:vAlign w:val="center"/>
            <w:shd w:fill="F2F6FA"/>
          </w:tcPr>
          <w:p>
            <w:pPr>
              <w:spacing w:after="0" w:line="240" w:lineRule="auto"/>
              <w:jc w:val="left"/>
            </w:pPr>
            <w:r>
              <w:rPr>
                <w:color w:val="232D37"/>
                <w:sz w:val="15"/>
              </w:rPr>
              <w:t>Conference, product/customer programme</w:t>
            </w:r>
          </w:p>
        </w:tc>
        <w:tc>
          <w:tcPr>
            <w:tcW w:type="dxa" w:w="3672"/>
            <w:tcMar>
              <w:top w:w="90" w:type="dxa"/>
              <w:start w:w="100" w:type="dxa"/>
              <w:bottom w:w="90" w:type="dxa"/>
              <w:end w:w="100" w:type="dxa"/>
            </w:tcMar>
            <w:vAlign w:val="center"/>
            <w:shd w:fill="F2F6FA"/>
          </w:tcPr>
          <w:p>
            <w:pPr>
              <w:spacing w:after="0" w:line="240" w:lineRule="auto"/>
              <w:jc w:val="left"/>
            </w:pPr>
            <w:r>
              <w:rPr>
                <w:color w:val="232D37"/>
                <w:sz w:val="15"/>
              </w:rPr>
              <w:t>Marketing approval, guest data, hospitality and brand compliance</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Executive/VIP visit</w:t>
            </w:r>
          </w:p>
        </w:tc>
        <w:tc>
          <w:tcPr>
            <w:tcW w:type="dxa" w:w="4680"/>
            <w:tcMar>
              <w:top w:w="90" w:type="dxa"/>
              <w:start w:w="100" w:type="dxa"/>
              <w:bottom w:w="90" w:type="dxa"/>
              <w:end w:w="100" w:type="dxa"/>
            </w:tcMar>
            <w:vAlign w:val="center"/>
          </w:tcPr>
          <w:p>
            <w:pPr>
              <w:spacing w:after="0" w:line="240" w:lineRule="auto"/>
              <w:jc w:val="left"/>
            </w:pPr>
            <w:r>
              <w:rPr>
                <w:color w:val="232D37"/>
                <w:sz w:val="15"/>
              </w:rPr>
              <w:t>Board, leadership, regulator or key guest</w:t>
            </w:r>
          </w:p>
        </w:tc>
        <w:tc>
          <w:tcPr>
            <w:tcW w:type="dxa" w:w="3672"/>
            <w:tcMar>
              <w:top w:w="90" w:type="dxa"/>
              <w:start w:w="100" w:type="dxa"/>
              <w:bottom w:w="90" w:type="dxa"/>
              <w:end w:w="100" w:type="dxa"/>
            </w:tcMar>
            <w:vAlign w:val="center"/>
          </w:tcPr>
          <w:p>
            <w:pPr>
              <w:spacing w:after="0" w:line="240" w:lineRule="auto"/>
              <w:jc w:val="left"/>
            </w:pPr>
            <w:r>
              <w:rPr>
                <w:color w:val="232D37"/>
                <w:sz w:val="15"/>
              </w:rPr>
              <w:t>Protocol, security, route, briefing and contingency</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External conference</w:t>
            </w:r>
          </w:p>
        </w:tc>
        <w:tc>
          <w:tcPr>
            <w:tcW w:type="dxa" w:w="4680"/>
            <w:tcMar>
              <w:top w:w="90" w:type="dxa"/>
              <w:start w:w="100" w:type="dxa"/>
              <w:bottom w:w="90" w:type="dxa"/>
              <w:end w:w="100" w:type="dxa"/>
            </w:tcMar>
            <w:vAlign w:val="center"/>
            <w:shd w:fill="F2F6FA"/>
          </w:tcPr>
          <w:p>
            <w:pPr>
              <w:spacing w:after="0" w:line="240" w:lineRule="auto"/>
              <w:jc w:val="left"/>
            </w:pPr>
            <w:r>
              <w:rPr>
                <w:color w:val="232D37"/>
                <w:sz w:val="15"/>
              </w:rPr>
              <w:t>Sponsorship, exhibition or delegate attendance</w:t>
            </w:r>
          </w:p>
        </w:tc>
        <w:tc>
          <w:tcPr>
            <w:tcW w:type="dxa" w:w="3672"/>
            <w:tcMar>
              <w:top w:w="90" w:type="dxa"/>
              <w:start w:w="100" w:type="dxa"/>
              <w:bottom w:w="90" w:type="dxa"/>
              <w:end w:w="100" w:type="dxa"/>
            </w:tcMar>
            <w:vAlign w:val="center"/>
            <w:shd w:fill="F2F6FA"/>
          </w:tcPr>
          <w:p>
            <w:pPr>
              <w:spacing w:after="0" w:line="240" w:lineRule="auto"/>
              <w:jc w:val="left"/>
            </w:pPr>
            <w:r>
              <w:rPr>
                <w:color w:val="232D37"/>
                <w:sz w:val="15"/>
              </w:rPr>
              <w:t>Commercial approval, booth, passes, leads and benefits</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Training programme</w:t>
            </w:r>
          </w:p>
        </w:tc>
        <w:tc>
          <w:tcPr>
            <w:tcW w:type="dxa" w:w="4680"/>
            <w:tcMar>
              <w:top w:w="90" w:type="dxa"/>
              <w:start w:w="100" w:type="dxa"/>
              <w:bottom w:w="90" w:type="dxa"/>
              <w:end w:w="100" w:type="dxa"/>
            </w:tcMar>
            <w:vAlign w:val="center"/>
          </w:tcPr>
          <w:p>
            <w:pPr>
              <w:spacing w:after="0" w:line="240" w:lineRule="auto"/>
              <w:jc w:val="left"/>
            </w:pPr>
            <w:r>
              <w:rPr>
                <w:color w:val="232D37"/>
                <w:sz w:val="15"/>
              </w:rPr>
              <w:t>Classroom/residential/multi-location</w:t>
            </w:r>
          </w:p>
        </w:tc>
        <w:tc>
          <w:tcPr>
            <w:tcW w:type="dxa" w:w="3672"/>
            <w:tcMar>
              <w:top w:w="90" w:type="dxa"/>
              <w:start w:w="100" w:type="dxa"/>
              <w:bottom w:w="90" w:type="dxa"/>
              <w:end w:w="100" w:type="dxa"/>
            </w:tcMar>
            <w:vAlign w:val="center"/>
          </w:tcPr>
          <w:p>
            <w:pPr>
              <w:spacing w:after="0" w:line="240" w:lineRule="auto"/>
              <w:jc w:val="left"/>
            </w:pPr>
            <w:r>
              <w:rPr>
                <w:color w:val="232D37"/>
                <w:sz w:val="15"/>
              </w:rPr>
              <w:t>Batch, trainer, material, attendance and accommodation</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Virtual/hybrid event</w:t>
            </w:r>
          </w:p>
        </w:tc>
        <w:tc>
          <w:tcPr>
            <w:tcW w:type="dxa" w:w="4680"/>
            <w:tcMar>
              <w:top w:w="90" w:type="dxa"/>
              <w:start w:w="100" w:type="dxa"/>
              <w:bottom w:w="90" w:type="dxa"/>
              <w:end w:w="100" w:type="dxa"/>
            </w:tcMar>
            <w:vAlign w:val="center"/>
            <w:shd w:fill="F2F6FA"/>
          </w:tcPr>
          <w:p>
            <w:pPr>
              <w:spacing w:after="0" w:line="240" w:lineRule="auto"/>
              <w:jc w:val="left"/>
            </w:pPr>
            <w:r>
              <w:rPr>
                <w:color w:val="232D37"/>
                <w:sz w:val="15"/>
              </w:rPr>
              <w:t>Webinar, webcast and multi-site event</w:t>
            </w:r>
          </w:p>
        </w:tc>
        <w:tc>
          <w:tcPr>
            <w:tcW w:type="dxa" w:w="3672"/>
            <w:tcMar>
              <w:top w:w="90" w:type="dxa"/>
              <w:start w:w="100" w:type="dxa"/>
              <w:bottom w:w="90" w:type="dxa"/>
              <w:end w:w="100" w:type="dxa"/>
            </w:tcMar>
            <w:vAlign w:val="center"/>
            <w:shd w:fill="F2F6FA"/>
          </w:tcPr>
          <w:p>
            <w:pPr>
              <w:spacing w:after="0" w:line="240" w:lineRule="auto"/>
              <w:jc w:val="left"/>
            </w:pPr>
            <w:r>
              <w:rPr>
                <w:color w:val="232D37"/>
                <w:sz w:val="15"/>
              </w:rPr>
              <w:t>Platform, recording consent, moderation and resiliency</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Emergency/rapid event</w:t>
            </w:r>
          </w:p>
        </w:tc>
        <w:tc>
          <w:tcPr>
            <w:tcW w:type="dxa" w:w="4680"/>
            <w:tcMar>
              <w:top w:w="90" w:type="dxa"/>
              <w:start w:w="100" w:type="dxa"/>
              <w:bottom w:w="90" w:type="dxa"/>
              <w:end w:w="100" w:type="dxa"/>
            </w:tcMar>
            <w:vAlign w:val="center"/>
          </w:tcPr>
          <w:p>
            <w:pPr>
              <w:spacing w:after="0" w:line="240" w:lineRule="auto"/>
              <w:jc w:val="left"/>
            </w:pPr>
            <w:r>
              <w:rPr>
                <w:color w:val="232D37"/>
                <w:sz w:val="15"/>
              </w:rPr>
              <w:t>Urgent stakeholder or response meeting</w:t>
            </w:r>
          </w:p>
        </w:tc>
        <w:tc>
          <w:tcPr>
            <w:tcW w:type="dxa" w:w="3672"/>
            <w:tcMar>
              <w:top w:w="90" w:type="dxa"/>
              <w:start w:w="100" w:type="dxa"/>
              <w:bottom w:w="90" w:type="dxa"/>
              <w:end w:w="100" w:type="dxa"/>
            </w:tcMar>
            <w:vAlign w:val="center"/>
          </w:tcPr>
          <w:p>
            <w:pPr>
              <w:spacing w:after="0" w:line="240" w:lineRule="auto"/>
              <w:jc w:val="left"/>
            </w:pPr>
            <w:r>
              <w:rPr>
                <w:color w:val="232D37"/>
                <w:sz w:val="15"/>
              </w:rPr>
              <w:t>Expedited approval, command role and audit after event</w:t>
            </w:r>
          </w:p>
        </w:tc>
      </w:tr>
    </w:tbl>
    <w:p>
      <w:pPr>
        <w:spacing w:after="40"/>
      </w:pPr>
    </w:p>
    <w:p>
      <w:pPr>
        <w:pStyle w:val="Heading2"/>
        <w:keepNext/>
      </w:pPr>
      <w:r>
        <w:t>15.2 Event request and planning data</w:t>
      </w:r>
    </w:p>
    <w:p>
      <w:pPr>
        <w:pStyle w:val="ListBullet"/>
      </w:pPr>
      <w:r>
        <w:t>Event title, objective, sponsor, owner, business unit, event category and success criteria.</w:t>
      </w:r>
    </w:p>
    <w:p>
      <w:pPr>
        <w:pStyle w:val="ListBullet"/>
      </w:pPr>
      <w:r>
        <w:t>Date options, duration, timezone, internal/external/virtual/hybrid format and recurrence.</w:t>
      </w:r>
    </w:p>
    <w:p>
      <w:pPr>
        <w:pStyle w:val="ListBullet"/>
      </w:pPr>
      <w:r>
        <w:t>Expected, minimum and maximum attendance; employee, guest, customer, vendor, media or VIP mix.</w:t>
      </w:r>
    </w:p>
    <w:p>
      <w:pPr>
        <w:pStyle w:val="ListBullet"/>
      </w:pPr>
      <w:r>
        <w:t>Location/venue, room configuration, stage, exhibition, breakout, accessibility and parking needs.</w:t>
      </w:r>
    </w:p>
    <w:p>
      <w:pPr>
        <w:pStyle w:val="ListBullet"/>
      </w:pPr>
      <w:r>
        <w:t>Agenda, speakers, hosts, moderator, rehearsals, registration and communication plan.</w:t>
      </w:r>
    </w:p>
    <w:p>
      <w:pPr>
        <w:pStyle w:val="ListBullet"/>
      </w:pPr>
      <w:r>
        <w:t>AV, broadcast, internet, power, recording, interpretation, photography and content requirements.</w:t>
      </w:r>
    </w:p>
    <w:p>
      <w:pPr>
        <w:pStyle w:val="ListBullet"/>
      </w:pPr>
      <w:r>
        <w:t>Food and beverage, dietary/allergen, service style, water, hospitality and alcohol policy where applicable.</w:t>
      </w:r>
    </w:p>
    <w:p>
      <w:pPr>
        <w:pStyle w:val="ListBullet"/>
      </w:pPr>
      <w:r>
        <w:t>Travel, hotel, airport transfer, local transport, group movement and guest support.</w:t>
      </w:r>
    </w:p>
    <w:p>
      <w:pPr>
        <w:pStyle w:val="ListBullet"/>
      </w:pPr>
      <w:r>
        <w:t>Branding, signage, collateral, gifts, awards, printing, décor and reusable material plan.</w:t>
      </w:r>
    </w:p>
    <w:p>
      <w:pPr>
        <w:pStyle w:val="ListBullet"/>
      </w:pPr>
      <w:r>
        <w:t>Security, medical, fire, crowd, child/guest, weather, insurance, permit and emergency controls.</w:t>
      </w:r>
    </w:p>
    <w:p>
      <w:pPr>
        <w:pStyle w:val="ListBullet"/>
      </w:pPr>
      <w:r>
        <w:t>Budget by cost category, funding source, sponsorship/recovery, contingency, advances and approval.</w:t>
      </w:r>
    </w:p>
    <w:p>
      <w:pPr>
        <w:pStyle w:val="ListBullet"/>
      </w:pPr>
      <w:r>
        <w:t>Personal data, consent, invitation, attendee list, confidentiality and record-retention classification.</w:t>
      </w:r>
    </w:p>
    <w:p>
      <w:pPr>
        <w:pStyle w:val="Heading2"/>
        <w:keepNext/>
      </w:pPr>
      <w:r>
        <w:t>15.3 Event execution workstreams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Workstream</w:t>
            </w:r>
          </w:p>
        </w:tc>
        <w:tc>
          <w:tcPr>
            <w:tcW w:type="dxa" w:w="5112"/>
            <w:shd w:fill="17365D"/>
            <w:tcMar>
              <w:top w:w="90" w:type="dxa"/>
              <w:start w:w="100" w:type="dxa"/>
              <w:bottom w:w="90" w:type="dxa"/>
              <w:end w:w="100" w:type="dxa"/>
            </w:tcMar>
            <w:vAlign w:val="center"/>
          </w:tcPr>
          <w:p>
            <w:pPr>
              <w:jc w:val="center"/>
            </w:pPr>
            <w:r>
              <w:rPr>
                <w:b/>
                <w:color w:val="FFFFFF"/>
                <w:sz w:val="15"/>
              </w:rPr>
              <w:t>Minimum deliverables</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Governance</w:t>
            </w:r>
          </w:p>
        </w:tc>
        <w:tc>
          <w:tcPr>
            <w:tcW w:type="dxa" w:w="8424"/>
            <w:tcMar>
              <w:top w:w="90" w:type="dxa"/>
              <w:start w:w="100" w:type="dxa"/>
              <w:bottom w:w="90" w:type="dxa"/>
              <w:end w:w="100" w:type="dxa"/>
            </w:tcMar>
            <w:vAlign w:val="center"/>
          </w:tcPr>
          <w:p>
            <w:pPr>
              <w:spacing w:after="0" w:line="240" w:lineRule="auto"/>
              <w:jc w:val="left"/>
            </w:pPr>
            <w:r>
              <w:rPr>
                <w:color w:val="232D37"/>
                <w:sz w:val="15"/>
              </w:rPr>
              <w:t>RACI, master plan, milestone tracker, decision log, change control and escalation</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Venue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Options, technical inspection, comparison, contract, layout, capacity, accessibility and handover</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Registration</w:t>
            </w:r>
          </w:p>
        </w:tc>
        <w:tc>
          <w:tcPr>
            <w:tcW w:type="dxa" w:w="8424"/>
            <w:tcMar>
              <w:top w:w="90" w:type="dxa"/>
              <w:start w:w="100" w:type="dxa"/>
              <w:bottom w:w="90" w:type="dxa"/>
              <w:end w:w="100" w:type="dxa"/>
            </w:tcMar>
            <w:vAlign w:val="center"/>
          </w:tcPr>
          <w:p>
            <w:pPr>
              <w:spacing w:after="0" w:line="240" w:lineRule="auto"/>
              <w:jc w:val="left"/>
            </w:pPr>
            <w:r>
              <w:rPr>
                <w:color w:val="232D37"/>
                <w:sz w:val="15"/>
              </w:rPr>
              <w:t>Invitation, RSVP, waitlist, QR/badge, walk-in, attendance, privacy notice and helpdesk</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Programme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Agenda, speaker confirmation, content review, rehearsal, cue sheet and timekeeping</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Production</w:t>
            </w:r>
          </w:p>
        </w:tc>
        <w:tc>
          <w:tcPr>
            <w:tcW w:type="dxa" w:w="8424"/>
            <w:tcMar>
              <w:top w:w="90" w:type="dxa"/>
              <w:start w:w="100" w:type="dxa"/>
              <w:bottom w:w="90" w:type="dxa"/>
              <w:end w:w="100" w:type="dxa"/>
            </w:tcMar>
            <w:vAlign w:val="center"/>
          </w:tcPr>
          <w:p>
            <w:pPr>
              <w:spacing w:after="0" w:line="240" w:lineRule="auto"/>
              <w:jc w:val="left"/>
            </w:pPr>
            <w:r>
              <w:rPr>
                <w:color w:val="232D37"/>
                <w:sz w:val="15"/>
              </w:rPr>
              <w:t>Stage, sound, light, display, broadcast, recording, backup and technical command</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Hospitality</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Menu, tasting, dietary matrix, service schedule, hygiene, wastage and feedback</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Travel/stay</w:t>
            </w:r>
          </w:p>
        </w:tc>
        <w:tc>
          <w:tcPr>
            <w:tcW w:type="dxa" w:w="8424"/>
            <w:tcMar>
              <w:top w:w="90" w:type="dxa"/>
              <w:start w:w="100" w:type="dxa"/>
              <w:bottom w:w="90" w:type="dxa"/>
              <w:end w:w="100" w:type="dxa"/>
            </w:tcMar>
            <w:vAlign w:val="center"/>
          </w:tcPr>
          <w:p>
            <w:pPr>
              <w:spacing w:after="0" w:line="240" w:lineRule="auto"/>
              <w:jc w:val="left"/>
            </w:pPr>
            <w:r>
              <w:rPr>
                <w:color w:val="232D37"/>
                <w:sz w:val="15"/>
              </w:rPr>
              <w:t>Traveller list, booking, rooming, manifests, transfers, helpdesk and emergencies</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Branding</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Approved artwork, placement, print quantity, installation, dismantling and asset reuse</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Security/safety</w:t>
            </w:r>
          </w:p>
        </w:tc>
        <w:tc>
          <w:tcPr>
            <w:tcW w:type="dxa" w:w="8424"/>
            <w:tcMar>
              <w:top w:w="90" w:type="dxa"/>
              <w:start w:w="100" w:type="dxa"/>
              <w:bottom w:w="90" w:type="dxa"/>
              <w:end w:w="100" w:type="dxa"/>
            </w:tcMar>
            <w:vAlign w:val="center"/>
          </w:tcPr>
          <w:p>
            <w:pPr>
              <w:spacing w:after="0" w:line="240" w:lineRule="auto"/>
              <w:jc w:val="left"/>
            </w:pPr>
            <w:r>
              <w:rPr>
                <w:color w:val="232D37"/>
                <w:sz w:val="15"/>
              </w:rPr>
              <w:t>Risk assessment, access, crowd plan, emergency response, medical and incident log</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Vendor control</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Scope, PO, staffing, permits, delivery checklist, evidence, SLA and invoice pack</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Sustainability</w:t>
            </w:r>
          </w:p>
        </w:tc>
        <w:tc>
          <w:tcPr>
            <w:tcW w:type="dxa" w:w="8424"/>
            <w:tcMar>
              <w:top w:w="90" w:type="dxa"/>
              <w:start w:w="100" w:type="dxa"/>
              <w:bottom w:w="90" w:type="dxa"/>
              <w:end w:w="100" w:type="dxa"/>
            </w:tcMar>
            <w:vAlign w:val="center"/>
          </w:tcPr>
          <w:p>
            <w:pPr>
              <w:spacing w:after="0" w:line="240" w:lineRule="auto"/>
              <w:jc w:val="left"/>
            </w:pPr>
            <w:r>
              <w:rPr>
                <w:color w:val="232D37"/>
                <w:sz w:val="15"/>
              </w:rPr>
              <w:t>Digital-first, reusable material, local sourcing, waste segregation and footprint</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Closure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Attendance, feedback, media archive, incident, lessons, invoice, accrual and budget closure</w:t>
            </w:r>
          </w:p>
        </w:tc>
      </w:tr>
    </w:tbl>
    <w:p>
      <w:pPr>
        <w:spacing w:after="40"/>
      </w:pPr>
    </w:p>
    <w:p>
      <w:pPr>
        <w:pStyle w:val="Heading2"/>
        <w:keepNext/>
      </w:pPr>
      <w:r>
        <w:t>15.4 Event budget structure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Cost family</w:t>
            </w:r>
          </w:p>
        </w:tc>
        <w:tc>
          <w:tcPr>
            <w:tcW w:type="dxa" w:w="5112"/>
            <w:shd w:fill="17365D"/>
            <w:tcMar>
              <w:top w:w="90" w:type="dxa"/>
              <w:start w:w="100" w:type="dxa"/>
              <w:bottom w:w="90" w:type="dxa"/>
              <w:end w:w="100" w:type="dxa"/>
            </w:tcMar>
            <w:vAlign w:val="center"/>
          </w:tcPr>
          <w:p>
            <w:pPr>
              <w:jc w:val="center"/>
            </w:pPr>
            <w:r>
              <w:rPr>
                <w:b/>
                <w:color w:val="FFFFFF"/>
                <w:sz w:val="15"/>
              </w:rPr>
              <w:t>Examples</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Venue</w:t>
            </w:r>
          </w:p>
        </w:tc>
        <w:tc>
          <w:tcPr>
            <w:tcW w:type="dxa" w:w="8208"/>
            <w:tcMar>
              <w:top w:w="90" w:type="dxa"/>
              <w:start w:w="100" w:type="dxa"/>
              <w:bottom w:w="90" w:type="dxa"/>
              <w:end w:w="100" w:type="dxa"/>
            </w:tcMar>
            <w:vAlign w:val="center"/>
          </w:tcPr>
          <w:p>
            <w:pPr>
              <w:spacing w:after="0" w:line="240" w:lineRule="auto"/>
              <w:jc w:val="left"/>
            </w:pPr>
            <w:r>
              <w:rPr>
                <w:color w:val="232D37"/>
                <w:sz w:val="15"/>
              </w:rPr>
              <w:t>Rental, minimum guarantee, licence, service charge, utilities and overtime</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Food/hospitality</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Meals, snacks, beverages, VIP service, tasting and dietary requirements</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Production</w:t>
            </w:r>
          </w:p>
        </w:tc>
        <w:tc>
          <w:tcPr>
            <w:tcW w:type="dxa" w:w="8208"/>
            <w:tcMar>
              <w:top w:w="90" w:type="dxa"/>
              <w:start w:w="100" w:type="dxa"/>
              <w:bottom w:w="90" w:type="dxa"/>
              <w:end w:w="100" w:type="dxa"/>
            </w:tcMar>
            <w:vAlign w:val="center"/>
          </w:tcPr>
          <w:p>
            <w:pPr>
              <w:spacing w:after="0" w:line="240" w:lineRule="auto"/>
              <w:jc w:val="left"/>
            </w:pPr>
            <w:r>
              <w:rPr>
                <w:color w:val="232D37"/>
                <w:sz w:val="15"/>
              </w:rPr>
              <w:t>AV, stage, lighting, LED, webcast, power backup, interpretation and technical crew</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Travel/stay</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Tickets, hotels, transfers, coaches, visa, insurance and travel helpdesk</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Content/people</w:t>
            </w:r>
          </w:p>
        </w:tc>
        <w:tc>
          <w:tcPr>
            <w:tcW w:type="dxa" w:w="8208"/>
            <w:tcMar>
              <w:top w:w="90" w:type="dxa"/>
              <w:start w:w="100" w:type="dxa"/>
              <w:bottom w:w="90" w:type="dxa"/>
              <w:end w:w="100" w:type="dxa"/>
            </w:tcMar>
            <w:vAlign w:val="center"/>
          </w:tcPr>
          <w:p>
            <w:pPr>
              <w:spacing w:after="0" w:line="240" w:lineRule="auto"/>
              <w:jc w:val="left"/>
            </w:pPr>
            <w:r>
              <w:rPr>
                <w:color w:val="232D37"/>
                <w:sz w:val="15"/>
              </w:rPr>
              <w:t>Speaker, host, trainer, entertainer, creative and event agency fees</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Brand/collateral</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Design, printing, signage, décor, booth, awards, gifts and kits</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Operations</w:t>
            </w:r>
          </w:p>
        </w:tc>
        <w:tc>
          <w:tcPr>
            <w:tcW w:type="dxa" w:w="8208"/>
            <w:tcMar>
              <w:top w:w="90" w:type="dxa"/>
              <w:start w:w="100" w:type="dxa"/>
              <w:bottom w:w="90" w:type="dxa"/>
              <w:end w:w="100" w:type="dxa"/>
            </w:tcMar>
            <w:vAlign w:val="center"/>
          </w:tcPr>
          <w:p>
            <w:pPr>
              <w:spacing w:after="0" w:line="240" w:lineRule="auto"/>
              <w:jc w:val="left"/>
            </w:pPr>
            <w:r>
              <w:rPr>
                <w:color w:val="232D37"/>
                <w:sz w:val="15"/>
              </w:rPr>
              <w:t>Security, medical, registration, temporary manpower, housekeeping and logistics</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Compliance</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Insurance, permits, taxes, music/content rights where applicable and safety</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Contingency</w:t>
            </w:r>
          </w:p>
        </w:tc>
        <w:tc>
          <w:tcPr>
            <w:tcW w:type="dxa" w:w="8208"/>
            <w:tcMar>
              <w:top w:w="90" w:type="dxa"/>
              <w:start w:w="100" w:type="dxa"/>
              <w:bottom w:w="90" w:type="dxa"/>
              <w:end w:w="100" w:type="dxa"/>
            </w:tcMar>
            <w:vAlign w:val="center"/>
          </w:tcPr>
          <w:p>
            <w:pPr>
              <w:spacing w:after="0" w:line="240" w:lineRule="auto"/>
              <w:jc w:val="left"/>
            </w:pPr>
            <w:r>
              <w:rPr>
                <w:color w:val="232D37"/>
                <w:sz w:val="15"/>
              </w:rPr>
              <w:t>Weather, replacement, extra attendance, disruption and emergency procurement</w:t>
            </w:r>
          </w:p>
        </w:tc>
      </w:tr>
    </w:tbl>
    <w:p>
      <w:pPr>
        <w:spacing w:after="40"/>
      </w:pPr>
    </w:p>
    <w:p>
      <w:pPr>
        <w:pStyle w:val="Heading1"/>
        <w:keepNext/>
      </w:pPr>
      <w:r>
        <w:t>16. Employee Transportation, Shuttle and Cab Management</w:t>
      </w:r>
    </w:p>
    <w:p>
      <w:pPr>
        <w:pStyle w:val="Heading2"/>
        <w:keepNext/>
      </w:pPr>
      <w:r>
        <w:t>16.1 Service models</w:t>
      </w:r>
    </w:p>
    <w:p>
      <w:pPr>
        <w:pStyle w:val="ListBullet"/>
      </w:pPr>
      <w:r>
        <w:t>Fixed-route shuttle; shift-based pickup/drop; point-to-point official cab; airport transfer; guest/VIP vehicle; emergency transport; employee-paid/subsidised service; accessible vehicle; event coach; interoffice shuttle.</w:t>
      </w:r>
    </w:p>
    <w:p>
      <w:pPr>
        <w:pStyle w:val="Heading2"/>
        <w:keepNext/>
      </w:pPr>
      <w:r>
        <w:t>16.2 Route and roster management</w:t>
      </w:r>
    </w:p>
    <w:p>
      <w:pPr>
        <w:pStyle w:val="ListBullet"/>
      </w:pPr>
      <w:r>
        <w:t>Route ID, stops, geo-coordinates, scheduled time, distance, tolls, capacity, gender-neutral safety rules, accessibility and backup route.</w:t>
      </w:r>
    </w:p>
    <w:p>
      <w:pPr>
        <w:pStyle w:val="ListBullet"/>
      </w:pPr>
      <w:r>
        <w:t>Employee eligibility, shift, home stop, subscription, ad hoc booking, waitlist, cancellation and no-show.</w:t>
      </w:r>
    </w:p>
    <w:p>
      <w:pPr>
        <w:pStyle w:val="ListBullet"/>
      </w:pPr>
      <w:r>
        <w:t>Vehicle, driver, vendor, permit, insurance, fitness, pollution certificate, GPS and emergency equipment.</w:t>
      </w:r>
    </w:p>
    <w:p>
      <w:pPr>
        <w:pStyle w:val="ListBullet"/>
      </w:pPr>
      <w:r>
        <w:t>Automated routing using demand, travel time, safe stops, vehicle capacity and contractual limits.</w:t>
      </w:r>
    </w:p>
    <w:p>
      <w:pPr>
        <w:pStyle w:val="ListBullet"/>
      </w:pPr>
      <w:r>
        <w:t>Boarding through app/QR/roster, live occupancy, missed pickup, route deviation and safe completion confirmation.</w:t>
      </w:r>
    </w:p>
    <w:p>
      <w:pPr>
        <w:pStyle w:val="ListBullet"/>
      </w:pPr>
      <w:r>
        <w:t>Control room dashboard for delayed vehicle, SOS, breakdown, accident, unplanned stop and driver non-compliance.</w:t>
      </w:r>
    </w:p>
    <w:p>
      <w:pPr>
        <w:pStyle w:val="Heading2"/>
        <w:keepNext/>
      </w:pPr>
      <w:r>
        <w:t>16.3 Transport billing and KPIs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Billing model</w:t>
            </w:r>
          </w:p>
        </w:tc>
        <w:tc>
          <w:tcPr>
            <w:tcW w:type="dxa" w:w="5112"/>
            <w:shd w:fill="17365D"/>
            <w:tcMar>
              <w:top w:w="90" w:type="dxa"/>
              <w:start w:w="100" w:type="dxa"/>
              <w:bottom w:w="90" w:type="dxa"/>
              <w:end w:w="100" w:type="dxa"/>
            </w:tcMar>
            <w:vAlign w:val="center"/>
          </w:tcPr>
          <w:p>
            <w:pPr>
              <w:jc w:val="center"/>
            </w:pPr>
            <w:r>
              <w:rPr>
                <w:b/>
                <w:color w:val="FFFFFF"/>
                <w:sz w:val="15"/>
              </w:rPr>
              <w:t>Controls</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Per vehicle/shift</w:t>
            </w:r>
          </w:p>
        </w:tc>
        <w:tc>
          <w:tcPr>
            <w:tcW w:type="dxa" w:w="8208"/>
            <w:tcMar>
              <w:top w:w="90" w:type="dxa"/>
              <w:start w:w="100" w:type="dxa"/>
              <w:bottom w:w="90" w:type="dxa"/>
              <w:end w:w="100" w:type="dxa"/>
            </w:tcMar>
            <w:vAlign w:val="center"/>
          </w:tcPr>
          <w:p>
            <w:pPr>
              <w:spacing w:after="0" w:line="240" w:lineRule="auto"/>
              <w:jc w:val="left"/>
            </w:pPr>
            <w:r>
              <w:rPr>
                <w:color w:val="232D37"/>
                <w:sz w:val="15"/>
              </w:rPr>
              <w:t>Deployed and accepted shift, permitted substitution, kilometres/hours and downtime</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Per kilometre/hour</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GPS/meter reconciliation, garage distance rule, toll/parking and minimum use</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Per seat/trip</w:t>
            </w:r>
          </w:p>
        </w:tc>
        <w:tc>
          <w:tcPr>
            <w:tcW w:type="dxa" w:w="8208"/>
            <w:tcMar>
              <w:top w:w="90" w:type="dxa"/>
              <w:start w:w="100" w:type="dxa"/>
              <w:bottom w:w="90" w:type="dxa"/>
              <w:end w:w="100" w:type="dxa"/>
            </w:tcMar>
            <w:vAlign w:val="center"/>
          </w:tcPr>
          <w:p>
            <w:pPr>
              <w:spacing w:after="0" w:line="240" w:lineRule="auto"/>
              <w:jc w:val="left"/>
            </w:pPr>
            <w:r>
              <w:rPr>
                <w:color w:val="232D37"/>
                <w:sz w:val="15"/>
              </w:rPr>
              <w:t>Booked versus travelled, no-show policy, route capacity and employee recovery</w:t>
            </w:r>
          </w:p>
        </w:tc>
      </w:tr>
      <w:tr>
        <w:tc>
          <w:tcPr>
            <w:tcW w:type="dxa" w:w="2160"/>
            <w:tcMar>
              <w:top w:w="90" w:type="dxa"/>
              <w:start w:w="100" w:type="dxa"/>
              <w:bottom w:w="90" w:type="dxa"/>
              <w:end w:w="100" w:type="dxa"/>
            </w:tcMar>
            <w:vAlign w:val="center"/>
            <w:shd w:fill="F2F6FA"/>
          </w:tcPr>
          <w:p>
            <w:pPr>
              <w:spacing w:after="0" w:line="240" w:lineRule="auto"/>
              <w:jc w:val="center"/>
            </w:pPr>
            <w:r>
              <w:rPr>
                <w:color w:val="232D37"/>
                <w:sz w:val="15"/>
              </w:rPr>
              <w:t>Fixed route</w:t>
            </w:r>
          </w:p>
        </w:tc>
        <w:tc>
          <w:tcPr>
            <w:tcW w:type="dxa" w:w="8208"/>
            <w:tcMar>
              <w:top w:w="90" w:type="dxa"/>
              <w:start w:w="100" w:type="dxa"/>
              <w:bottom w:w="90" w:type="dxa"/>
              <w:end w:w="100" w:type="dxa"/>
            </w:tcMar>
            <w:vAlign w:val="center"/>
            <w:shd w:fill="F2F6FA"/>
          </w:tcPr>
          <w:p>
            <w:pPr>
              <w:spacing w:after="0" w:line="240" w:lineRule="auto"/>
              <w:jc w:val="left"/>
            </w:pPr>
            <w:r>
              <w:rPr>
                <w:color w:val="232D37"/>
                <w:sz w:val="15"/>
              </w:rPr>
              <w:t>Calendar, service days, route change, bus capacity and penalty</w:t>
            </w:r>
          </w:p>
        </w:tc>
      </w:tr>
      <w:tr>
        <w:tc>
          <w:tcPr>
            <w:tcW w:type="dxa" w:w="2160"/>
            <w:tcMar>
              <w:top w:w="90" w:type="dxa"/>
              <w:start w:w="100" w:type="dxa"/>
              <w:bottom w:w="90" w:type="dxa"/>
              <w:end w:w="100" w:type="dxa"/>
            </w:tcMar>
            <w:vAlign w:val="center"/>
          </w:tcPr>
          <w:p>
            <w:pPr>
              <w:spacing w:after="0" w:line="240" w:lineRule="auto"/>
              <w:jc w:val="center"/>
            </w:pPr>
            <w:r>
              <w:rPr>
                <w:color w:val="232D37"/>
                <w:sz w:val="15"/>
              </w:rPr>
              <w:t>Ad hoc cab</w:t>
            </w:r>
          </w:p>
        </w:tc>
        <w:tc>
          <w:tcPr>
            <w:tcW w:type="dxa" w:w="8208"/>
            <w:tcMar>
              <w:top w:w="90" w:type="dxa"/>
              <w:start w:w="100" w:type="dxa"/>
              <w:bottom w:w="90" w:type="dxa"/>
              <w:end w:w="100" w:type="dxa"/>
            </w:tcMar>
            <w:vAlign w:val="center"/>
          </w:tcPr>
          <w:p>
            <w:pPr>
              <w:spacing w:after="0" w:line="240" w:lineRule="auto"/>
              <w:jc w:val="left"/>
            </w:pPr>
            <w:r>
              <w:rPr>
                <w:color w:val="232D37"/>
                <w:sz w:val="15"/>
              </w:rPr>
              <w:t>Approved request, pickup/drop, traveller confirmation, billable code and receipt</w:t>
            </w:r>
          </w:p>
        </w:tc>
      </w:tr>
    </w:tbl>
    <w:p>
      <w:pPr>
        <w:spacing w:after="40"/>
      </w:pPr>
    </w:p>
    <w:p>
      <w:pPr>
        <w:pStyle w:val="ListBullet"/>
      </w:pPr>
      <w:r>
        <w:t>On-time pickup/drop, trip completion, GPS availability, vehicle compliance and breakdown rate.</w:t>
      </w:r>
    </w:p>
    <w:p>
      <w:pPr>
        <w:pStyle w:val="ListBullet"/>
      </w:pPr>
      <w:r>
        <w:t>Seat utilisation, cost per passenger/trip/km, route productivity and no-show rate.</w:t>
      </w:r>
    </w:p>
    <w:p>
      <w:pPr>
        <w:pStyle w:val="ListBullet"/>
      </w:pPr>
      <w:r>
        <w:t>Safety incidents, SOS response, driver behaviour, overspeeding and route deviations.</w:t>
      </w:r>
    </w:p>
    <w:p>
      <w:pPr>
        <w:pStyle w:val="ListBullet"/>
      </w:pPr>
      <w:r>
        <w:t>Invoice accuracy, cancelled trips, duplicate trips, unapproved extras and penalties.</w:t>
      </w:r>
    </w:p>
    <w:p>
      <w:pPr>
        <w:pStyle w:val="Heading1"/>
        <w:keepNext/>
      </w:pPr>
      <w:r>
        <w:t>17. Fleet and Driver Management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Lifecycle area</w:t>
            </w:r>
          </w:p>
        </w:tc>
        <w:tc>
          <w:tcPr>
            <w:tcW w:type="dxa" w:w="5112"/>
            <w:shd w:fill="17365D"/>
            <w:tcMar>
              <w:top w:w="90" w:type="dxa"/>
              <w:start w:w="100" w:type="dxa"/>
              <w:bottom w:w="90" w:type="dxa"/>
              <w:end w:w="100" w:type="dxa"/>
            </w:tcMar>
            <w:vAlign w:val="center"/>
          </w:tcPr>
          <w:p>
            <w:pPr>
              <w:jc w:val="center"/>
            </w:pPr>
            <w:r>
              <w:rPr>
                <w:b/>
                <w:color w:val="FFFFFF"/>
                <w:sz w:val="15"/>
              </w:rPr>
              <w:t>Detailed coverage</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Vehicle master</w:t>
            </w:r>
          </w:p>
        </w:tc>
        <w:tc>
          <w:tcPr>
            <w:tcW w:type="dxa" w:w="8424"/>
            <w:tcMar>
              <w:top w:w="90" w:type="dxa"/>
              <w:start w:w="100" w:type="dxa"/>
              <w:bottom w:w="90" w:type="dxa"/>
              <w:end w:w="100" w:type="dxa"/>
            </w:tcMar>
            <w:vAlign w:val="center"/>
          </w:tcPr>
          <w:p>
            <w:pPr>
              <w:spacing w:after="0" w:line="240" w:lineRule="auto"/>
              <w:jc w:val="left"/>
            </w:pPr>
            <w:r>
              <w:rPr>
                <w:color w:val="232D37"/>
                <w:sz w:val="15"/>
              </w:rPr>
              <w:t>Owned/leased/hired, registration, class, make/model, fuel, capacity, location, custodian and cost centre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Driver master</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Identity, licence class/expiry, training, background check, medical, roster and vendor</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Allocation</w:t>
            </w:r>
          </w:p>
        </w:tc>
        <w:tc>
          <w:tcPr>
            <w:tcW w:type="dxa" w:w="8424"/>
            <w:tcMar>
              <w:top w:w="90" w:type="dxa"/>
              <w:start w:w="100" w:type="dxa"/>
              <w:bottom w:w="90" w:type="dxa"/>
              <w:end w:w="100" w:type="dxa"/>
            </w:tcMar>
            <w:vAlign w:val="center"/>
          </w:tcPr>
          <w:p>
            <w:pPr>
              <w:spacing w:after="0" w:line="240" w:lineRule="auto"/>
              <w:jc w:val="left"/>
            </w:pPr>
            <w:r>
              <w:rPr>
                <w:color w:val="232D37"/>
                <w:sz w:val="15"/>
              </w:rPr>
              <w:t>Pool/assigned vehicle, eligible role, booking, key/fuel card custody and trip purpose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Compliance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Registration, insurance, permit, fitness, tax, pollution, FASTag and renewal alerts</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Operations</w:t>
            </w:r>
          </w:p>
        </w:tc>
        <w:tc>
          <w:tcPr>
            <w:tcW w:type="dxa" w:w="8424"/>
            <w:tcMar>
              <w:top w:w="90" w:type="dxa"/>
              <w:start w:w="100" w:type="dxa"/>
              <w:bottom w:w="90" w:type="dxa"/>
              <w:end w:w="100" w:type="dxa"/>
            </w:tcMar>
            <w:vAlign w:val="center"/>
          </w:tcPr>
          <w:p>
            <w:pPr>
              <w:spacing w:after="0" w:line="240" w:lineRule="auto"/>
              <w:jc w:val="left"/>
            </w:pPr>
            <w:r>
              <w:rPr>
                <w:color w:val="232D37"/>
                <w:sz w:val="15"/>
              </w:rPr>
              <w:t>Odometer, fuel/charging, toll, parking, cleanliness, utilisation and trip log</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Maintenance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Service schedule, tyres, battery, repairs, recall, downtime, replacement vehicle and warranty</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Incident</w:t>
            </w:r>
          </w:p>
        </w:tc>
        <w:tc>
          <w:tcPr>
            <w:tcW w:type="dxa" w:w="8424"/>
            <w:tcMar>
              <w:top w:w="90" w:type="dxa"/>
              <w:start w:w="100" w:type="dxa"/>
              <w:bottom w:w="90" w:type="dxa"/>
              <w:end w:w="100" w:type="dxa"/>
            </w:tcMar>
            <w:vAlign w:val="center"/>
          </w:tcPr>
          <w:p>
            <w:pPr>
              <w:spacing w:after="0" w:line="240" w:lineRule="auto"/>
              <w:jc w:val="left"/>
            </w:pPr>
            <w:r>
              <w:rPr>
                <w:color w:val="232D37"/>
                <w:sz w:val="15"/>
              </w:rPr>
              <w:t>Accident, breakdown, theft, claim, police/insurance documents, recovery and root cause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Commercial</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Lease/rental, fuel, maintenance, driver, toll, tax, fine, claim and total cost of ownership</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Disposal</w:t>
            </w:r>
          </w:p>
        </w:tc>
        <w:tc>
          <w:tcPr>
            <w:tcW w:type="dxa" w:w="8424"/>
            <w:tcMar>
              <w:top w:w="90" w:type="dxa"/>
              <w:start w:w="100" w:type="dxa"/>
              <w:bottom w:w="90" w:type="dxa"/>
              <w:end w:w="100" w:type="dxa"/>
            </w:tcMar>
            <w:vAlign w:val="center"/>
          </w:tcPr>
          <w:p>
            <w:pPr>
              <w:spacing w:after="0" w:line="240" w:lineRule="auto"/>
              <w:jc w:val="left"/>
            </w:pPr>
            <w:r>
              <w:rPr>
                <w:color w:val="232D37"/>
                <w:sz w:val="15"/>
              </w:rPr>
              <w:t>Replacement decision, valuation, approval, auction/sale, document transfer and accounting</w:t>
            </w:r>
          </w:p>
        </w:tc>
      </w:tr>
    </w:tbl>
    <w:p>
      <w:pPr>
        <w:spacing w:after="40"/>
      </w:pPr>
    </w:p>
    <w:p>
      <w:pPr>
        <w:pStyle w:val="Heading1"/>
        <w:keepNext/>
      </w:pPr>
      <w:r>
        <w:t>18. Guest House, Hotel and Temporary Accommodation</w:t>
      </w:r>
    </w:p>
    <w:p>
      <w:pPr>
        <w:pStyle w:val="ListBullet"/>
      </w:pPr>
      <w:r>
        <w:t>Property/room master: city, address, room type, capacity, gender-neutral allocation rules, accessibility, amenities, tariff and blackout dates.</w:t>
      </w:r>
    </w:p>
    <w:p>
      <w:pPr>
        <w:pStyle w:val="ListBullet"/>
      </w:pPr>
      <w:r>
        <w:t>Eligibility and priority: employee, project, new joiner, transferred employee, trainer, auditor, guest, VIP and emergency stay.</w:t>
      </w:r>
    </w:p>
    <w:p>
      <w:pPr>
        <w:pStyle w:val="ListBullet"/>
      </w:pPr>
      <w:r>
        <w:t>Request: guest identity, purpose, check-in/out, number of occupants, meals, transport, billing and special support.</w:t>
      </w:r>
    </w:p>
    <w:p>
      <w:pPr>
        <w:pStyle w:val="ListBullet"/>
      </w:pPr>
      <w:r>
        <w:t>Approval and booking: entitlement, availability, cost comparison, waitlist, guarantee, extension and cancellation.</w:t>
      </w:r>
    </w:p>
    <w:p>
      <w:pPr>
        <w:pStyle w:val="ListBullet"/>
      </w:pPr>
      <w:r>
        <w:t>Operations: check-in identity, key, room condition, housekeeping, linen, food, laundry, maintenance, visitor and emergency controls.</w:t>
      </w:r>
    </w:p>
    <w:p>
      <w:pPr>
        <w:pStyle w:val="ListBullet"/>
      </w:pPr>
      <w:r>
        <w:t>Financials: room tariff, meals, extras, taxes, employee recovery, no-show, damage, vendor invoice and internal chargeback.</w:t>
      </w:r>
    </w:p>
    <w:p>
      <w:pPr>
        <w:pStyle w:val="ListBullet"/>
      </w:pPr>
      <w:r>
        <w:t>Closure: checkout, room inspection, key return, feedback, incident, property update and invoice reconciliation.</w:t>
      </w:r>
    </w:p>
    <w:p>
      <w:pPr>
        <w:pStyle w:val="Heading2"/>
        <w:keepNext/>
      </w:pPr>
      <w:r>
        <w:t>18.1 Accommodation dashboards</w:t>
      </w:r>
    </w:p>
    <w:p>
      <w:pPr>
        <w:pStyle w:val="ListBullet"/>
      </w:pPr>
      <w:r>
        <w:t>Occupancy, room nights, average length of stay, no-show, extension and denial due to capacity.</w:t>
      </w:r>
    </w:p>
    <w:p>
      <w:pPr>
        <w:pStyle w:val="ListBullet"/>
      </w:pPr>
      <w:r>
        <w:t>Cost per room night, employee recovery, damage, external hotel substitution and savings.</w:t>
      </w:r>
    </w:p>
    <w:p>
      <w:pPr>
        <w:pStyle w:val="ListBullet"/>
      </w:pPr>
      <w:r>
        <w:t>Housekeeping score, maintenance downtime, guest feedback, safety findings and vendor performance.</w:t>
      </w:r>
    </w:p>
    <w:p>
      <w:pPr>
        <w:pStyle w:val="Heading1"/>
        <w:keepNext/>
      </w:pPr>
      <w:r>
        <w:t>19. Visitor, Reception and Front Office Management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Stage</w:t>
            </w:r>
          </w:p>
        </w:tc>
        <w:tc>
          <w:tcPr>
            <w:tcW w:type="dxa" w:w="5112"/>
            <w:shd w:fill="17365D"/>
            <w:tcMar>
              <w:top w:w="90" w:type="dxa"/>
              <w:start w:w="100" w:type="dxa"/>
              <w:bottom w:w="90" w:type="dxa"/>
              <w:end w:w="100" w:type="dxa"/>
            </w:tcMar>
            <w:vAlign w:val="center"/>
          </w:tcPr>
          <w:p>
            <w:pPr>
              <w:jc w:val="center"/>
            </w:pPr>
            <w:r>
              <w:rPr>
                <w:b/>
                <w:color w:val="FFFFFF"/>
                <w:sz w:val="15"/>
              </w:rPr>
              <w:t>Controls and data</w:t>
            </w:r>
          </w:p>
        </w:tc>
      </w:tr>
      <w:tr>
        <w:tc>
          <w:tcPr>
            <w:tcW w:type="dxa" w:w="1800"/>
            <w:tcMar>
              <w:top w:w="90" w:type="dxa"/>
              <w:start w:w="100" w:type="dxa"/>
              <w:bottom w:w="90" w:type="dxa"/>
              <w:end w:w="100" w:type="dxa"/>
            </w:tcMar>
            <w:vAlign w:val="center"/>
          </w:tcPr>
          <w:p>
            <w:pPr>
              <w:spacing w:after="0" w:line="240" w:lineRule="auto"/>
              <w:jc w:val="center"/>
            </w:pPr>
            <w:r>
              <w:rPr>
                <w:color w:val="232D37"/>
                <w:sz w:val="15"/>
              </w:rPr>
              <w:t>Pre-registration</w:t>
            </w:r>
          </w:p>
        </w:tc>
        <w:tc>
          <w:tcPr>
            <w:tcW w:type="dxa" w:w="8568"/>
            <w:tcMar>
              <w:top w:w="90" w:type="dxa"/>
              <w:start w:w="100" w:type="dxa"/>
              <w:bottom w:w="90" w:type="dxa"/>
              <w:end w:w="100" w:type="dxa"/>
            </w:tcMar>
            <w:vAlign w:val="center"/>
          </w:tcPr>
          <w:p>
            <w:pPr>
              <w:spacing w:after="0" w:line="240" w:lineRule="auto"/>
              <w:jc w:val="left"/>
            </w:pPr>
            <w:r>
              <w:rPr>
                <w:color w:val="232D37"/>
                <w:sz w:val="15"/>
              </w:rPr>
              <w:t>Host, visitor/organisation, purpose, date/time, location, attendees, vehicle and material</w:t>
            </w:r>
          </w:p>
        </w:tc>
      </w:tr>
      <w:tr>
        <w:tc>
          <w:tcPr>
            <w:tcW w:type="dxa" w:w="1800"/>
            <w:tcMar>
              <w:top w:w="90" w:type="dxa"/>
              <w:start w:w="100" w:type="dxa"/>
              <w:bottom w:w="90" w:type="dxa"/>
              <w:end w:w="100" w:type="dxa"/>
            </w:tcMar>
            <w:vAlign w:val="center"/>
            <w:shd w:fill="F2F6FA"/>
          </w:tcPr>
          <w:p>
            <w:pPr>
              <w:spacing w:after="0" w:line="240" w:lineRule="auto"/>
              <w:jc w:val="center"/>
            </w:pPr>
            <w:r>
              <w:rPr>
                <w:color w:val="232D37"/>
                <w:sz w:val="15"/>
              </w:rPr>
              <w:t>Approval</w:t>
            </w:r>
          </w:p>
        </w:tc>
        <w:tc>
          <w:tcPr>
            <w:tcW w:type="dxa" w:w="8568"/>
            <w:tcMar>
              <w:top w:w="90" w:type="dxa"/>
              <w:start w:w="100" w:type="dxa"/>
              <w:bottom w:w="90" w:type="dxa"/>
              <w:end w:w="100" w:type="dxa"/>
            </w:tcMar>
            <w:vAlign w:val="center"/>
            <w:shd w:fill="F2F6FA"/>
          </w:tcPr>
          <w:p>
            <w:pPr>
              <w:spacing w:after="0" w:line="240" w:lineRule="auto"/>
              <w:jc w:val="left"/>
            </w:pPr>
            <w:r>
              <w:rPr>
                <w:color w:val="232D37"/>
                <w:sz w:val="15"/>
              </w:rPr>
              <w:t>Host/department/security approval, restricted area, competitor/blacklist and after-hours access</w:t>
            </w:r>
          </w:p>
        </w:tc>
      </w:tr>
      <w:tr>
        <w:tc>
          <w:tcPr>
            <w:tcW w:type="dxa" w:w="1800"/>
            <w:tcMar>
              <w:top w:w="90" w:type="dxa"/>
              <w:start w:w="100" w:type="dxa"/>
              <w:bottom w:w="90" w:type="dxa"/>
              <w:end w:w="100" w:type="dxa"/>
            </w:tcMar>
            <w:vAlign w:val="center"/>
          </w:tcPr>
          <w:p>
            <w:pPr>
              <w:spacing w:after="0" w:line="240" w:lineRule="auto"/>
              <w:jc w:val="center"/>
            </w:pPr>
            <w:r>
              <w:rPr>
                <w:color w:val="232D37"/>
                <w:sz w:val="15"/>
              </w:rPr>
              <w:t>Arrival</w:t>
            </w:r>
          </w:p>
        </w:tc>
        <w:tc>
          <w:tcPr>
            <w:tcW w:type="dxa" w:w="8568"/>
            <w:tcMar>
              <w:top w:w="90" w:type="dxa"/>
              <w:start w:w="100" w:type="dxa"/>
              <w:bottom w:w="90" w:type="dxa"/>
              <w:end w:w="100" w:type="dxa"/>
            </w:tcMar>
            <w:vAlign w:val="center"/>
          </w:tcPr>
          <w:p>
            <w:pPr>
              <w:spacing w:after="0" w:line="240" w:lineRule="auto"/>
              <w:jc w:val="left"/>
            </w:pPr>
            <w:r>
              <w:rPr>
                <w:color w:val="232D37"/>
                <w:sz w:val="15"/>
              </w:rPr>
              <w:t>Identity verification, privacy/consent, photo/badge where allowed, belongings and safety briefing</w:t>
            </w:r>
          </w:p>
        </w:tc>
      </w:tr>
      <w:tr>
        <w:tc>
          <w:tcPr>
            <w:tcW w:type="dxa" w:w="1800"/>
            <w:tcMar>
              <w:top w:w="90" w:type="dxa"/>
              <w:start w:w="100" w:type="dxa"/>
              <w:bottom w:w="90" w:type="dxa"/>
              <w:end w:w="100" w:type="dxa"/>
            </w:tcMar>
            <w:vAlign w:val="center"/>
            <w:shd w:fill="F2F6FA"/>
          </w:tcPr>
          <w:p>
            <w:pPr>
              <w:spacing w:after="0" w:line="240" w:lineRule="auto"/>
              <w:jc w:val="center"/>
            </w:pPr>
            <w:r>
              <w:rPr>
                <w:color w:val="232D37"/>
                <w:sz w:val="15"/>
              </w:rPr>
              <w:t>Access</w:t>
            </w:r>
          </w:p>
        </w:tc>
        <w:tc>
          <w:tcPr>
            <w:tcW w:type="dxa" w:w="8568"/>
            <w:tcMar>
              <w:top w:w="90" w:type="dxa"/>
              <w:start w:w="100" w:type="dxa"/>
              <w:bottom w:w="90" w:type="dxa"/>
              <w:end w:w="100" w:type="dxa"/>
            </w:tcMar>
            <w:vAlign w:val="center"/>
            <w:shd w:fill="F2F6FA"/>
          </w:tcPr>
          <w:p>
            <w:pPr>
              <w:spacing w:after="0" w:line="240" w:lineRule="auto"/>
              <w:jc w:val="left"/>
            </w:pPr>
            <w:r>
              <w:rPr>
                <w:color w:val="232D37"/>
                <w:sz w:val="15"/>
              </w:rPr>
              <w:t>Allowed zones, escort, meeting room, temporary access expiry and real-time host notification</w:t>
            </w:r>
          </w:p>
        </w:tc>
      </w:tr>
      <w:tr>
        <w:tc>
          <w:tcPr>
            <w:tcW w:type="dxa" w:w="1800"/>
            <w:tcMar>
              <w:top w:w="90" w:type="dxa"/>
              <w:start w:w="100" w:type="dxa"/>
              <w:bottom w:w="90" w:type="dxa"/>
              <w:end w:w="100" w:type="dxa"/>
            </w:tcMar>
            <w:vAlign w:val="center"/>
          </w:tcPr>
          <w:p>
            <w:pPr>
              <w:spacing w:after="0" w:line="240" w:lineRule="auto"/>
              <w:jc w:val="center"/>
            </w:pPr>
            <w:r>
              <w:rPr>
                <w:color w:val="232D37"/>
                <w:sz w:val="15"/>
              </w:rPr>
              <w:t>Material movement</w:t>
            </w:r>
          </w:p>
        </w:tc>
        <w:tc>
          <w:tcPr>
            <w:tcW w:type="dxa" w:w="8568"/>
            <w:tcMar>
              <w:top w:w="90" w:type="dxa"/>
              <w:start w:w="100" w:type="dxa"/>
              <w:bottom w:w="90" w:type="dxa"/>
              <w:end w:w="100" w:type="dxa"/>
            </w:tcMar>
            <w:vAlign w:val="center"/>
          </w:tcPr>
          <w:p>
            <w:pPr>
              <w:spacing w:after="0" w:line="240" w:lineRule="auto"/>
              <w:jc w:val="left"/>
            </w:pPr>
            <w:r>
              <w:rPr>
                <w:color w:val="232D37"/>
                <w:sz w:val="15"/>
              </w:rPr>
              <w:t>Laptop/equipment/item details, inward/outward gate pass, serial, approval and return due</w:t>
            </w:r>
          </w:p>
        </w:tc>
      </w:tr>
      <w:tr>
        <w:tc>
          <w:tcPr>
            <w:tcW w:type="dxa" w:w="1800"/>
            <w:tcMar>
              <w:top w:w="90" w:type="dxa"/>
              <w:start w:w="100" w:type="dxa"/>
              <w:bottom w:w="90" w:type="dxa"/>
              <w:end w:w="100" w:type="dxa"/>
            </w:tcMar>
            <w:vAlign w:val="center"/>
            <w:shd w:fill="F2F6FA"/>
          </w:tcPr>
          <w:p>
            <w:pPr>
              <w:spacing w:after="0" w:line="240" w:lineRule="auto"/>
              <w:jc w:val="center"/>
            </w:pPr>
            <w:r>
              <w:rPr>
                <w:color w:val="232D37"/>
                <w:sz w:val="15"/>
              </w:rPr>
              <w:t>VIP/group</w:t>
            </w:r>
          </w:p>
        </w:tc>
        <w:tc>
          <w:tcPr>
            <w:tcW w:type="dxa" w:w="8568"/>
            <w:tcMar>
              <w:top w:w="90" w:type="dxa"/>
              <w:start w:w="100" w:type="dxa"/>
              <w:bottom w:w="90" w:type="dxa"/>
              <w:end w:w="100" w:type="dxa"/>
            </w:tcMar>
            <w:vAlign w:val="center"/>
            <w:shd w:fill="F2F6FA"/>
          </w:tcPr>
          <w:p>
            <w:pPr>
              <w:spacing w:after="0" w:line="240" w:lineRule="auto"/>
              <w:jc w:val="left"/>
            </w:pPr>
            <w:r>
              <w:rPr>
                <w:color w:val="232D37"/>
                <w:sz w:val="15"/>
              </w:rPr>
              <w:t>Protocol, parking, reception desk, badges, security, itinerary and hospitality</w:t>
            </w:r>
          </w:p>
        </w:tc>
      </w:tr>
      <w:tr>
        <w:tc>
          <w:tcPr>
            <w:tcW w:type="dxa" w:w="1800"/>
            <w:tcMar>
              <w:top w:w="90" w:type="dxa"/>
              <w:start w:w="100" w:type="dxa"/>
              <w:bottom w:w="90" w:type="dxa"/>
              <w:end w:w="100" w:type="dxa"/>
            </w:tcMar>
            <w:vAlign w:val="center"/>
          </w:tcPr>
          <w:p>
            <w:pPr>
              <w:spacing w:after="0" w:line="240" w:lineRule="auto"/>
              <w:jc w:val="center"/>
            </w:pPr>
            <w:r>
              <w:rPr>
                <w:color w:val="232D37"/>
                <w:sz w:val="15"/>
              </w:rPr>
              <w:t>Departure</w:t>
            </w:r>
          </w:p>
        </w:tc>
        <w:tc>
          <w:tcPr>
            <w:tcW w:type="dxa" w:w="8568"/>
            <w:tcMar>
              <w:top w:w="90" w:type="dxa"/>
              <w:start w:w="100" w:type="dxa"/>
              <w:bottom w:w="90" w:type="dxa"/>
              <w:end w:w="100" w:type="dxa"/>
            </w:tcMar>
            <w:vAlign w:val="center"/>
          </w:tcPr>
          <w:p>
            <w:pPr>
              <w:spacing w:after="0" w:line="240" w:lineRule="auto"/>
              <w:jc w:val="left"/>
            </w:pPr>
            <w:r>
              <w:rPr>
                <w:color w:val="232D37"/>
                <w:sz w:val="15"/>
              </w:rPr>
              <w:t>Badge/key return, material validation, checkout and host confirmation</w:t>
            </w:r>
          </w:p>
        </w:tc>
      </w:tr>
      <w:tr>
        <w:tc>
          <w:tcPr>
            <w:tcW w:type="dxa" w:w="1800"/>
            <w:tcMar>
              <w:top w:w="90" w:type="dxa"/>
              <w:start w:w="100" w:type="dxa"/>
              <w:bottom w:w="90" w:type="dxa"/>
              <w:end w:w="100" w:type="dxa"/>
            </w:tcMar>
            <w:vAlign w:val="center"/>
            <w:shd w:fill="F2F6FA"/>
          </w:tcPr>
          <w:p>
            <w:pPr>
              <w:spacing w:after="0" w:line="240" w:lineRule="auto"/>
              <w:jc w:val="center"/>
            </w:pPr>
            <w:r>
              <w:rPr>
                <w:color w:val="232D37"/>
                <w:sz w:val="15"/>
              </w:rPr>
              <w:t>Emergency</w:t>
            </w:r>
          </w:p>
        </w:tc>
        <w:tc>
          <w:tcPr>
            <w:tcW w:type="dxa" w:w="8568"/>
            <w:tcMar>
              <w:top w:w="90" w:type="dxa"/>
              <w:start w:w="100" w:type="dxa"/>
              <w:bottom w:w="90" w:type="dxa"/>
              <w:end w:w="100" w:type="dxa"/>
            </w:tcMar>
            <w:vAlign w:val="center"/>
            <w:shd w:fill="F2F6FA"/>
          </w:tcPr>
          <w:p>
            <w:pPr>
              <w:spacing w:after="0" w:line="240" w:lineRule="auto"/>
              <w:jc w:val="left"/>
            </w:pPr>
            <w:r>
              <w:rPr>
                <w:color w:val="232D37"/>
                <w:sz w:val="15"/>
              </w:rPr>
              <w:t>On-site visitor list, evacuation accounting, incident contact and assembly status</w:t>
            </w:r>
          </w:p>
        </w:tc>
      </w:tr>
      <w:tr>
        <w:tc>
          <w:tcPr>
            <w:tcW w:type="dxa" w:w="1800"/>
            <w:tcMar>
              <w:top w:w="90" w:type="dxa"/>
              <w:start w:w="100" w:type="dxa"/>
              <w:bottom w:w="90" w:type="dxa"/>
              <w:end w:w="100" w:type="dxa"/>
            </w:tcMar>
            <w:vAlign w:val="center"/>
          </w:tcPr>
          <w:p>
            <w:pPr>
              <w:spacing w:after="0" w:line="240" w:lineRule="auto"/>
              <w:jc w:val="center"/>
            </w:pPr>
            <w:r>
              <w:rPr>
                <w:color w:val="232D37"/>
                <w:sz w:val="15"/>
              </w:rPr>
              <w:t>Reporting</w:t>
            </w:r>
          </w:p>
        </w:tc>
        <w:tc>
          <w:tcPr>
            <w:tcW w:type="dxa" w:w="8568"/>
            <w:tcMar>
              <w:top w:w="90" w:type="dxa"/>
              <w:start w:w="100" w:type="dxa"/>
              <w:bottom w:w="90" w:type="dxa"/>
              <w:end w:w="100" w:type="dxa"/>
            </w:tcMar>
            <w:vAlign w:val="center"/>
          </w:tcPr>
          <w:p>
            <w:pPr>
              <w:spacing w:after="0" w:line="240" w:lineRule="auto"/>
              <w:jc w:val="left"/>
            </w:pPr>
            <w:r>
              <w:rPr>
                <w:color w:val="232D37"/>
                <w:sz w:val="15"/>
              </w:rPr>
              <w:t>Footfall, wait time, overstays, denied entry, badge loss, material pending and experience</w:t>
            </w:r>
          </w:p>
        </w:tc>
      </w:tr>
    </w:tbl>
    <w:p>
      <w:pPr>
        <w:spacing w:after="40"/>
      </w:pPr>
    </w:p>
    <w:p>
      <w:pPr>
        <w:pStyle w:val="Heading1"/>
        <w:keepNext/>
      </w:pPr>
      <w:r>
        <w:t>20. Mailroom, Courier, Logistics and Material Movement</w:t>
      </w:r>
    </w:p>
    <w:p>
      <w:pPr>
        <w:pStyle w:val="Heading2"/>
        <w:keepNext/>
      </w:pPr>
      <w:r>
        <w:t>20.1 Mailroom processes</w:t>
      </w:r>
    </w:p>
    <w:p>
      <w:pPr>
        <w:pStyle w:val="ListBullet"/>
      </w:pPr>
      <w:r>
        <w:t>Inward courier receipt, barcode, sender, recipient, confidentiality, condition, timestamp, notification and acknowledgement.</w:t>
      </w:r>
    </w:p>
    <w:p>
      <w:pPr>
        <w:pStyle w:val="ListBullet"/>
      </w:pPr>
      <w:r>
        <w:t>Outward request, address validation, service level, package type/weight, prohibited-item check, cost centre and pickup.</w:t>
      </w:r>
    </w:p>
    <w:p>
      <w:pPr>
        <w:pStyle w:val="ListBullet"/>
      </w:pPr>
      <w:r>
        <w:t>Interoffice bag schedule, seal number, custody transfer, manifest, exception and delivery confirmation.</w:t>
      </w:r>
    </w:p>
    <w:p>
      <w:pPr>
        <w:pStyle w:val="ListBullet"/>
      </w:pPr>
      <w:r>
        <w:t>Bulk dispatch, campaign/list validation, label generation, undelivered return and vendor reconciliation.</w:t>
      </w:r>
    </w:p>
    <w:p>
      <w:pPr>
        <w:pStyle w:val="ListBullet"/>
      </w:pPr>
      <w:r>
        <w:t>Sensitive/legal/confidential documents use restricted handling, named custody, tamper evidence and retention.</w:t>
      </w:r>
    </w:p>
    <w:p>
      <w:pPr>
        <w:pStyle w:val="ListBullet"/>
      </w:pPr>
      <w:r>
        <w:t>International shipments include customs description, commercial documents, duties/taxes and restricted-country checks.</w:t>
      </w:r>
    </w:p>
    <w:p>
      <w:pPr>
        <w:pStyle w:val="ListBullet"/>
      </w:pPr>
      <w:r>
        <w:t>Lost, damaged, delayed or unclaimed item follows incident, claim, escalation and write-off process.</w:t>
      </w:r>
    </w:p>
    <w:p>
      <w:pPr>
        <w:pStyle w:val="Heading2"/>
        <w:keepNext/>
      </w:pPr>
      <w:r>
        <w:t>20.2 Logistics and relocation</w:t>
      </w:r>
    </w:p>
    <w:p>
      <w:pPr>
        <w:pStyle w:val="ListBullet"/>
      </w:pPr>
      <w:r>
        <w:t>Material request, source/destination, item/asset list, dimensions, handling, insurance and required date.</w:t>
      </w:r>
    </w:p>
    <w:p>
      <w:pPr>
        <w:pStyle w:val="ListBullet"/>
      </w:pPr>
      <w:r>
        <w:t>Packing standard, transporter, vehicle, labour, lift/loading permission, route and delivery appointment.</w:t>
      </w:r>
    </w:p>
    <w:p>
      <w:pPr>
        <w:pStyle w:val="ListBullet"/>
      </w:pPr>
      <w:r>
        <w:t>Asset movement approval, gate pass, scan-out/scan-in, chain of custody and fixed-asset update.</w:t>
      </w:r>
    </w:p>
    <w:p>
      <w:pPr>
        <w:pStyle w:val="ListBullet"/>
      </w:pPr>
      <w:r>
        <w:t>Branch opening/closure movement plan, documents, records, furniture, equipment, secure items and waste.</w:t>
      </w:r>
    </w:p>
    <w:p>
      <w:pPr>
        <w:pStyle w:val="ListBullet"/>
      </w:pPr>
      <w:r>
        <w:t>Proof of pickup/delivery, shortage/damage, claim, installation, packaging removal and invoice certification.</w:t>
      </w:r>
    </w:p>
    <w:p>
      <w:pPr>
        <w:pStyle w:val="Heading1"/>
        <w:keepNext/>
      </w:pPr>
      <w:r>
        <w:t>21. Records, Archive and Secure Destruction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Capability</w:t>
            </w:r>
          </w:p>
        </w:tc>
        <w:tc>
          <w:tcPr>
            <w:tcW w:type="dxa" w:w="5112"/>
            <w:shd w:fill="17365D"/>
            <w:tcMar>
              <w:top w:w="90" w:type="dxa"/>
              <w:start w:w="100" w:type="dxa"/>
              <w:bottom w:w="90" w:type="dxa"/>
              <w:end w:w="100" w:type="dxa"/>
            </w:tcMar>
            <w:vAlign w:val="center"/>
          </w:tcPr>
          <w:p>
            <w:pPr>
              <w:jc w:val="center"/>
            </w:pPr>
            <w:r>
              <w:rPr>
                <w:b/>
                <w:color w:val="FFFFFF"/>
                <w:sz w:val="15"/>
              </w:rPr>
              <w:t>Detailed requirement</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Record classification</w:t>
            </w:r>
          </w:p>
        </w:tc>
        <w:tc>
          <w:tcPr>
            <w:tcW w:type="dxa" w:w="8352"/>
            <w:tcMar>
              <w:top w:w="90" w:type="dxa"/>
              <w:start w:w="100" w:type="dxa"/>
              <w:bottom w:w="90" w:type="dxa"/>
              <w:end w:w="100" w:type="dxa"/>
            </w:tcMar>
            <w:vAlign w:val="center"/>
          </w:tcPr>
          <w:p>
            <w:pPr>
              <w:spacing w:after="0" w:line="240" w:lineRule="auto"/>
              <w:jc w:val="left"/>
            </w:pPr>
            <w:r>
              <w:rPr>
                <w:color w:val="232D37"/>
                <w:sz w:val="15"/>
              </w:rPr>
              <w:t>Business owner, record type, confidentiality, format, retention, legal hold and disposal authority</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File/box indexing</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Unique ID, contents, date range, department, location, barcode, shelf/bin and status</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Transfer to archive</w:t>
            </w:r>
          </w:p>
        </w:tc>
        <w:tc>
          <w:tcPr>
            <w:tcW w:type="dxa" w:w="8352"/>
            <w:tcMar>
              <w:top w:w="90" w:type="dxa"/>
              <w:start w:w="100" w:type="dxa"/>
              <w:bottom w:w="90" w:type="dxa"/>
              <w:end w:w="100" w:type="dxa"/>
            </w:tcMar>
            <w:vAlign w:val="center"/>
          </w:tcPr>
          <w:p>
            <w:pPr>
              <w:spacing w:after="0" w:line="240" w:lineRule="auto"/>
              <w:jc w:val="left"/>
            </w:pPr>
            <w:r>
              <w:rPr>
                <w:color w:val="232D37"/>
                <w:sz w:val="15"/>
              </w:rPr>
              <w:t>Approved list, packing, chain of custody, pickup, receipt, exception and inventory update</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Retrieval</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Authorised requester, reason, urgency, scan/physical delivery, due date and acknowledgement</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Return</w:t>
            </w:r>
          </w:p>
        </w:tc>
        <w:tc>
          <w:tcPr>
            <w:tcW w:type="dxa" w:w="8352"/>
            <w:tcMar>
              <w:top w:w="90" w:type="dxa"/>
              <w:start w:w="100" w:type="dxa"/>
              <w:bottom w:w="90" w:type="dxa"/>
              <w:end w:w="100" w:type="dxa"/>
            </w:tcMar>
            <w:vAlign w:val="center"/>
          </w:tcPr>
          <w:p>
            <w:pPr>
              <w:spacing w:after="0" w:line="240" w:lineRule="auto"/>
              <w:jc w:val="left"/>
            </w:pPr>
            <w:r>
              <w:rPr>
                <w:color w:val="232D37"/>
                <w:sz w:val="15"/>
              </w:rPr>
              <w:t>Condition, completeness, barcode scan, overdue escalation and re-shelving</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Legal hold</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Matter/reference, custodian, affected records, suspension of destruction and release approval</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Digitisation</w:t>
            </w:r>
          </w:p>
        </w:tc>
        <w:tc>
          <w:tcPr>
            <w:tcW w:type="dxa" w:w="8352"/>
            <w:tcMar>
              <w:top w:w="90" w:type="dxa"/>
              <w:start w:w="100" w:type="dxa"/>
              <w:bottom w:w="90" w:type="dxa"/>
              <w:end w:w="100" w:type="dxa"/>
            </w:tcMar>
            <w:vAlign w:val="center"/>
          </w:tcPr>
          <w:p>
            <w:pPr>
              <w:spacing w:after="0" w:line="240" w:lineRule="auto"/>
              <w:jc w:val="left"/>
            </w:pPr>
            <w:r>
              <w:rPr>
                <w:color w:val="232D37"/>
                <w:sz w:val="15"/>
              </w:rPr>
              <w:t>Preparation, scanning, OCR/index, quality, access, source disposition and audit</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Destruction</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Retention due, owner/legal approval, secure collection, shredding, witness and certificate</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Vendor billing</w:t>
            </w:r>
          </w:p>
        </w:tc>
        <w:tc>
          <w:tcPr>
            <w:tcW w:type="dxa" w:w="8352"/>
            <w:tcMar>
              <w:top w:w="90" w:type="dxa"/>
              <w:start w:w="100" w:type="dxa"/>
              <w:bottom w:w="90" w:type="dxa"/>
              <w:end w:w="100" w:type="dxa"/>
            </w:tcMar>
            <w:vAlign w:val="center"/>
          </w:tcPr>
          <w:p>
            <w:pPr>
              <w:spacing w:after="0" w:line="240" w:lineRule="auto"/>
              <w:jc w:val="left"/>
            </w:pPr>
            <w:r>
              <w:rPr>
                <w:color w:val="232D37"/>
                <w:sz w:val="15"/>
              </w:rPr>
              <w:t>Boxes, retrievals, scans, trips, destruction weight and rate-card validation</w:t>
            </w:r>
          </w:p>
        </w:tc>
      </w:tr>
    </w:tbl>
    <w:p>
      <w:pPr>
        <w:spacing w:after="40"/>
      </w:pPr>
    </w:p>
    <w:p>
      <w:pPr>
        <w:pStyle w:val="Heading1"/>
        <w:keepNext/>
      </w:pPr>
      <w:r>
        <w:t>22. Printing, Reprographics and Controlled Stationery</w:t>
      </w:r>
    </w:p>
    <w:p>
      <w:pPr>
        <w:pStyle w:val="ListBullet"/>
      </w:pPr>
      <w:r>
        <w:t>Print catalogue: business cards, letterheads, envelopes, forms, reports, manuals, labels, signage and event material.</w:t>
      </w:r>
    </w:p>
    <w:p>
      <w:pPr>
        <w:pStyle w:val="ListBullet"/>
      </w:pPr>
      <w:r>
        <w:t>Approved templates, brand version, language, paper specification, colour, finish, quantity, proof and delivery location.</w:t>
      </w:r>
    </w:p>
    <w:p>
      <w:pPr>
        <w:pStyle w:val="ListBullet"/>
      </w:pPr>
      <w:r>
        <w:t>Request entitlement, manager/brand/legal approval, cost estimate, print-on-demand and central versus local production.</w:t>
      </w:r>
    </w:p>
    <w:p>
      <w:pPr>
        <w:pStyle w:val="ListBullet"/>
      </w:pPr>
      <w:r>
        <w:t>Secure jobs require authorised file transfer, restricted operator access, spoilage control, count reconciliation and secure destruction.</w:t>
      </w:r>
    </w:p>
    <w:p>
      <w:pPr>
        <w:pStyle w:val="ListBullet"/>
      </w:pPr>
      <w:r>
        <w:t>Controlled stationery requires serial/number range, dual custody, issue register, balance, cancellation and destruction evidence.</w:t>
      </w:r>
    </w:p>
    <w:p>
      <w:pPr>
        <w:pStyle w:val="ListBullet"/>
      </w:pPr>
      <w:r>
        <w:t>Managed-print services track device, page count, colour/mono, user/department, toner, uptime, paper and cost per page.</w:t>
      </w:r>
    </w:p>
    <w:p>
      <w:pPr>
        <w:pStyle w:val="ListBullet"/>
      </w:pPr>
      <w:r>
        <w:t>Vendor invoice is matched to approved job, proof, quantity delivered, wastage rule, rate card and acknowledgement.</w:t>
      </w:r>
    </w:p>
    <w:p>
      <w:pPr>
        <w:pStyle w:val="Heading1"/>
        <w:keepNext/>
      </w:pPr>
      <w:r>
        <w:t>23. Corporate Gifting, Awards, Merchandise and Employee Kits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Area</w:t>
            </w:r>
          </w:p>
        </w:tc>
        <w:tc>
          <w:tcPr>
            <w:tcW w:type="dxa" w:w="5112"/>
            <w:shd w:fill="17365D"/>
            <w:tcMar>
              <w:top w:w="90" w:type="dxa"/>
              <w:start w:w="100" w:type="dxa"/>
              <w:bottom w:w="90" w:type="dxa"/>
              <w:end w:w="100" w:type="dxa"/>
            </w:tcMar>
            <w:vAlign w:val="center"/>
          </w:tcPr>
          <w:p>
            <w:pPr>
              <w:jc w:val="center"/>
            </w:pPr>
            <w:r>
              <w:rPr>
                <w:b/>
                <w:color w:val="FFFFFF"/>
                <w:sz w:val="15"/>
              </w:rPr>
              <w:t>Controls</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Catalogue</w:t>
            </w:r>
          </w:p>
        </w:tc>
        <w:tc>
          <w:tcPr>
            <w:tcW w:type="dxa" w:w="8424"/>
            <w:tcMar>
              <w:top w:w="90" w:type="dxa"/>
              <w:start w:w="100" w:type="dxa"/>
              <w:bottom w:w="90" w:type="dxa"/>
              <w:end w:w="100" w:type="dxa"/>
            </w:tcMar>
            <w:vAlign w:val="center"/>
          </w:tcPr>
          <w:p>
            <w:pPr>
              <w:spacing w:after="0" w:line="240" w:lineRule="auto"/>
              <w:jc w:val="left"/>
            </w:pPr>
            <w:r>
              <w:rPr>
                <w:color w:val="232D37"/>
                <w:sz w:val="15"/>
              </w:rPr>
              <w:t>Gift/award/merchandise/kit ID, occasion, description, value, tax, inventory, branding and shelf life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Eligibility</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Recipient type, grade, occasion, frequency, value threshold, conflict-of-interest and restricted recipient</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Request</w:t>
            </w:r>
          </w:p>
        </w:tc>
        <w:tc>
          <w:tcPr>
            <w:tcW w:type="dxa" w:w="8424"/>
            <w:tcMar>
              <w:top w:w="90" w:type="dxa"/>
              <w:start w:w="100" w:type="dxa"/>
              <w:bottom w:w="90" w:type="dxa"/>
              <w:end w:w="100" w:type="dxa"/>
            </w:tcMar>
            <w:vAlign w:val="center"/>
          </w:tcPr>
          <w:p>
            <w:pPr>
              <w:spacing w:after="0" w:line="240" w:lineRule="auto"/>
              <w:jc w:val="left"/>
            </w:pPr>
            <w:r>
              <w:rPr>
                <w:color w:val="232D37"/>
                <w:sz w:val="15"/>
              </w:rPr>
              <w:t>Purpose, recipient list, approval, budget, delivery date, personalisation and confidentiality</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Sourcing</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Approved product/vendor, samples, quality, ethical sourcing, packaging and lead time</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Distribution</w:t>
            </w:r>
          </w:p>
        </w:tc>
        <w:tc>
          <w:tcPr>
            <w:tcW w:type="dxa" w:w="8424"/>
            <w:tcMar>
              <w:top w:w="90" w:type="dxa"/>
              <w:start w:w="100" w:type="dxa"/>
              <w:bottom w:w="90" w:type="dxa"/>
              <w:end w:w="100" w:type="dxa"/>
            </w:tcMar>
            <w:vAlign w:val="center"/>
          </w:tcPr>
          <w:p>
            <w:pPr>
              <w:spacing w:after="0" w:line="240" w:lineRule="auto"/>
              <w:jc w:val="left"/>
            </w:pPr>
            <w:r>
              <w:rPr>
                <w:color w:val="232D37"/>
                <w:sz w:val="15"/>
              </w:rPr>
              <w:t>Named issue, address/privacy, courier, acknowledgement, return and undelivered item</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Inventory</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Batch, serial, location, balance, ageing, damage, obsolescence and stock verification</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Compliance</w:t>
            </w:r>
          </w:p>
        </w:tc>
        <w:tc>
          <w:tcPr>
            <w:tcW w:type="dxa" w:w="8424"/>
            <w:tcMar>
              <w:top w:w="90" w:type="dxa"/>
              <w:start w:w="100" w:type="dxa"/>
              <w:bottom w:w="90" w:type="dxa"/>
              <w:end w:w="100" w:type="dxa"/>
            </w:tcMar>
            <w:vAlign w:val="center"/>
          </w:tcPr>
          <w:p>
            <w:pPr>
              <w:spacing w:after="0" w:line="240" w:lineRule="auto"/>
              <w:jc w:val="left"/>
            </w:pPr>
            <w:r>
              <w:rPr>
                <w:color w:val="232D37"/>
                <w:sz w:val="15"/>
              </w:rPr>
              <w:t>Gift-register entry, regulatory/customer restrictions, tax and anti-bribery review where applicable</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Closure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Final recipient reconciliation, unused return, vendor invoice and cost per recipient</w:t>
            </w:r>
          </w:p>
        </w:tc>
      </w:tr>
    </w:tbl>
    <w:p>
      <w:pPr>
        <w:spacing w:after="40"/>
      </w:pPr>
    </w:p>
    <w:p>
      <w:pPr>
        <w:pStyle w:val="Heading2"/>
        <w:keepNext/>
      </w:pPr>
      <w:r>
        <w:t>23.1 Joining, transfer and separation kits</w:t>
      </w:r>
    </w:p>
    <w:p>
      <w:pPr>
        <w:pStyle w:val="ListBullet"/>
      </w:pPr>
      <w:r>
        <w:t>New-joiner kit may include ID/access coordination, stationery, branded items, safety material, workplace guide and assigned assets.</w:t>
      </w:r>
    </w:p>
    <w:p>
      <w:pPr>
        <w:pStyle w:val="ListBullet"/>
      </w:pPr>
      <w:r>
        <w:t>Transfer kit connects travel, temporary stay, transport, seating, access, asset move, records and local orientation.</w:t>
      </w:r>
    </w:p>
    <w:p>
      <w:pPr>
        <w:pStyle w:val="ListBullet"/>
      </w:pPr>
      <w:r>
        <w:t>Separation requires return of badge, keys, assets, vehicle/fuel card, records, controlled items and guest-house dues before clearance.</w:t>
      </w:r>
    </w:p>
    <w:p>
      <w:pPr>
        <w:pStyle w:val="Heading1"/>
        <w:keepNext/>
      </w:pPr>
      <w:r>
        <w:t>24. Uniform, Linen, PPE, Keys, Seals and Other Custodial Items</w:t>
      </w:r>
    </w:p>
    <w:p>
      <w:pPr>
        <w:pStyle w:val="ListBullet"/>
      </w:pPr>
      <w:r>
        <w:t>Item entitlement by role, site, risk, season, size, issue frequency and replacement rule.</w:t>
      </w:r>
    </w:p>
    <w:p>
      <w:pPr>
        <w:pStyle w:val="ListBullet"/>
      </w:pPr>
      <w:r>
        <w:t>Measurement/size, fitting, issue, employee/vendor acknowledgement, alteration, exchange and return.</w:t>
      </w:r>
    </w:p>
    <w:p>
      <w:pPr>
        <w:pStyle w:val="ListBullet"/>
      </w:pPr>
      <w:r>
        <w:t>Laundry cycle, linen par level, soiled/clean segregation, loss, damage and hygiene standard.</w:t>
      </w:r>
    </w:p>
    <w:p>
      <w:pPr>
        <w:pStyle w:val="ListBullet"/>
      </w:pPr>
      <w:r>
        <w:t>PPE certification, inspection, expiry, training, hazard mapping and mandatory use confirmation.</w:t>
      </w:r>
    </w:p>
    <w:p>
      <w:pPr>
        <w:pStyle w:val="ListBullet"/>
      </w:pPr>
      <w:r>
        <w:t>Physical keys, locker keys, seals, stamps and access tokens require unique ID, custody, duplicate control, handover and cancellation.</w:t>
      </w:r>
    </w:p>
    <w:p>
      <w:pPr>
        <w:pStyle w:val="ListBullet"/>
      </w:pPr>
      <w:r>
        <w:t>Loss or damage triggers incident, security review, recovery rule, replacement and audit trail.</w:t>
      </w:r>
    </w:p>
    <w:p>
      <w:pPr>
        <w:pStyle w:val="ListBullet"/>
      </w:pPr>
      <w:r>
        <w:t>Stock and invoice control use issue quantity, returned item, service life, contract rate and quality acceptance.</w:t>
      </w:r>
    </w:p>
    <w:p>
      <w:pPr>
        <w:pStyle w:val="Heading1"/>
        <w:keepNext/>
      </w:pPr>
      <w:r>
        <w:t>25. Food, Cafeteria, Vending and Pantry Operations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Capability</w:t>
            </w:r>
          </w:p>
        </w:tc>
        <w:tc>
          <w:tcPr>
            <w:tcW w:type="dxa" w:w="5112"/>
            <w:shd w:fill="17365D"/>
            <w:tcMar>
              <w:top w:w="90" w:type="dxa"/>
              <w:start w:w="100" w:type="dxa"/>
              <w:bottom w:w="90" w:type="dxa"/>
              <w:end w:w="100" w:type="dxa"/>
            </w:tcMar>
            <w:vAlign w:val="center"/>
          </w:tcPr>
          <w:p>
            <w:pPr>
              <w:jc w:val="center"/>
            </w:pPr>
            <w:r>
              <w:rPr>
                <w:b/>
                <w:color w:val="FFFFFF"/>
                <w:sz w:val="15"/>
              </w:rPr>
              <w:t>Detailed coverage</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Service model</w:t>
            </w:r>
          </w:p>
        </w:tc>
        <w:tc>
          <w:tcPr>
            <w:tcW w:type="dxa" w:w="8424"/>
            <w:tcMar>
              <w:top w:w="90" w:type="dxa"/>
              <w:start w:w="100" w:type="dxa"/>
              <w:bottom w:w="90" w:type="dxa"/>
              <w:end w:w="100" w:type="dxa"/>
            </w:tcMar>
            <w:vAlign w:val="center"/>
          </w:tcPr>
          <w:p>
            <w:pPr>
              <w:spacing w:after="0" w:line="240" w:lineRule="auto"/>
              <w:jc w:val="left"/>
            </w:pPr>
            <w:r>
              <w:rPr>
                <w:color w:val="232D37"/>
                <w:sz w:val="15"/>
              </w:rPr>
              <w:t>Cafeteria, food court, vendor kitchen, delivered meals, vending, pantry and executive dining</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Menu/pricing</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Menu cycle, nutritional/allergen data, subsidised/employee price, portion and availability</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Demand</w:t>
            </w:r>
          </w:p>
        </w:tc>
        <w:tc>
          <w:tcPr>
            <w:tcW w:type="dxa" w:w="8424"/>
            <w:tcMar>
              <w:top w:w="90" w:type="dxa"/>
              <w:start w:w="100" w:type="dxa"/>
              <w:bottom w:w="90" w:type="dxa"/>
              <w:end w:w="100" w:type="dxa"/>
            </w:tcMar>
            <w:vAlign w:val="center"/>
          </w:tcPr>
          <w:p>
            <w:pPr>
              <w:spacing w:after="0" w:line="240" w:lineRule="auto"/>
              <w:jc w:val="left"/>
            </w:pPr>
            <w:r>
              <w:rPr>
                <w:color w:val="232D37"/>
                <w:sz w:val="15"/>
              </w:rPr>
              <w:t>Headcount, shift, attendance, preorder, special event, seasonality and wastage forecast</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Hygiene</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Licences, staff medical/training, kitchen audit, temperature, samples, pest and corrective action</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Transaction</w:t>
            </w:r>
          </w:p>
        </w:tc>
        <w:tc>
          <w:tcPr>
            <w:tcW w:type="dxa" w:w="8424"/>
            <w:tcMar>
              <w:top w:w="90" w:type="dxa"/>
              <w:start w:w="100" w:type="dxa"/>
              <w:bottom w:w="90" w:type="dxa"/>
              <w:end w:w="100" w:type="dxa"/>
            </w:tcMar>
            <w:vAlign w:val="center"/>
          </w:tcPr>
          <w:p>
            <w:pPr>
              <w:spacing w:after="0" w:line="240" w:lineRule="auto"/>
              <w:jc w:val="left"/>
            </w:pPr>
            <w:r>
              <w:rPr>
                <w:color w:val="232D37"/>
                <w:sz w:val="15"/>
              </w:rPr>
              <w:t>Employee identity, entitlement/subsidy, cashless payment, coupon, guest and refund</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Vending</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Machine/asset, refill, stock, expiry, sales/dispense, downtime, hygiene and cashless reconciliation</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Billing</w:t>
            </w:r>
          </w:p>
        </w:tc>
        <w:tc>
          <w:tcPr>
            <w:tcW w:type="dxa" w:w="8424"/>
            <w:tcMar>
              <w:top w:w="90" w:type="dxa"/>
              <w:start w:w="100" w:type="dxa"/>
              <w:bottom w:w="90" w:type="dxa"/>
              <w:end w:w="100" w:type="dxa"/>
            </w:tcMar>
            <w:vAlign w:val="center"/>
          </w:tcPr>
          <w:p>
            <w:pPr>
              <w:spacing w:after="0" w:line="240" w:lineRule="auto"/>
              <w:jc w:val="left"/>
            </w:pPr>
            <w:r>
              <w:rPr>
                <w:color w:val="232D37"/>
                <w:sz w:val="15"/>
              </w:rPr>
              <w:t>Meals/transactions, subsidy, minimum guarantee, utilities, penalties, wastage and tax</w:t>
            </w:r>
          </w:p>
        </w:tc>
      </w:tr>
      <w:tr>
        <w:tc>
          <w:tcPr>
            <w:tcW w:type="dxa" w:w="1944"/>
            <w:tcMar>
              <w:top w:w="90" w:type="dxa"/>
              <w:start w:w="100" w:type="dxa"/>
              <w:bottom w:w="90" w:type="dxa"/>
              <w:end w:w="100" w:type="dxa"/>
            </w:tcMar>
            <w:vAlign w:val="center"/>
            <w:shd w:fill="F2F6FA"/>
          </w:tcPr>
          <w:p>
            <w:pPr>
              <w:spacing w:after="0" w:line="240" w:lineRule="auto"/>
              <w:jc w:val="center"/>
            </w:pPr>
            <w:r>
              <w:rPr>
                <w:color w:val="232D37"/>
                <w:sz w:val="15"/>
              </w:rPr>
              <w:t>Feedback</w:t>
            </w:r>
          </w:p>
        </w:tc>
        <w:tc>
          <w:tcPr>
            <w:tcW w:type="dxa" w:w="8424"/>
            <w:tcMar>
              <w:top w:w="90" w:type="dxa"/>
              <w:start w:w="100" w:type="dxa"/>
              <w:bottom w:w="90" w:type="dxa"/>
              <w:end w:w="100" w:type="dxa"/>
            </w:tcMar>
            <w:vAlign w:val="center"/>
            <w:shd w:fill="F2F6FA"/>
          </w:tcPr>
          <w:p>
            <w:pPr>
              <w:spacing w:after="0" w:line="240" w:lineRule="auto"/>
              <w:jc w:val="left"/>
            </w:pPr>
            <w:r>
              <w:rPr>
                <w:color w:val="232D37"/>
                <w:sz w:val="15"/>
              </w:rPr>
              <w:t>Item/vendor/location rating, complaint, illness escalation, refund and menu action</w:t>
            </w:r>
          </w:p>
        </w:tc>
      </w:tr>
      <w:tr>
        <w:tc>
          <w:tcPr>
            <w:tcW w:type="dxa" w:w="1944"/>
            <w:tcMar>
              <w:top w:w="90" w:type="dxa"/>
              <w:start w:w="100" w:type="dxa"/>
              <w:bottom w:w="90" w:type="dxa"/>
              <w:end w:w="100" w:type="dxa"/>
            </w:tcMar>
            <w:vAlign w:val="center"/>
          </w:tcPr>
          <w:p>
            <w:pPr>
              <w:spacing w:after="0" w:line="240" w:lineRule="auto"/>
              <w:jc w:val="center"/>
            </w:pPr>
            <w:r>
              <w:rPr>
                <w:color w:val="232D37"/>
                <w:sz w:val="15"/>
              </w:rPr>
              <w:t>Sustainability</w:t>
            </w:r>
          </w:p>
        </w:tc>
        <w:tc>
          <w:tcPr>
            <w:tcW w:type="dxa" w:w="8424"/>
            <w:tcMar>
              <w:top w:w="90" w:type="dxa"/>
              <w:start w:w="100" w:type="dxa"/>
              <w:bottom w:w="90" w:type="dxa"/>
              <w:end w:w="100" w:type="dxa"/>
            </w:tcMar>
            <w:vAlign w:val="center"/>
          </w:tcPr>
          <w:p>
            <w:pPr>
              <w:spacing w:after="0" w:line="240" w:lineRule="auto"/>
              <w:jc w:val="left"/>
            </w:pPr>
            <w:r>
              <w:rPr>
                <w:color w:val="232D37"/>
                <w:sz w:val="15"/>
              </w:rPr>
              <w:t>Local sourcing, reusable serviceware, food-waste measurement, donation/compost and water/energy</w:t>
            </w:r>
          </w:p>
        </w:tc>
      </w:tr>
    </w:tbl>
    <w:p>
      <w:pPr>
        <w:spacing w:after="40"/>
      </w:pPr>
    </w:p>
    <w:p>
      <w:pPr>
        <w:pStyle w:val="Heading1"/>
        <w:keepNext/>
      </w:pPr>
      <w:r>
        <w:t>26. Parking, Accessory Services and Workplace Amenities</w:t>
      </w:r>
    </w:p>
    <w:p>
      <w:pPr>
        <w:pStyle w:val="ListBullet"/>
      </w:pPr>
      <w:r>
        <w:t>Parking inventory by location, bay type, vehicle category, accessible/visitor/EV/VIP allocation and operating hours.</w:t>
      </w:r>
    </w:p>
    <w:p>
      <w:pPr>
        <w:pStyle w:val="ListBullet"/>
      </w:pPr>
      <w:r>
        <w:t>Employee eligibility, vehicle document, allocation, waitlist, temporary pass, carpool, cancellation and misuse.</w:t>
      </w:r>
    </w:p>
    <w:p>
      <w:pPr>
        <w:pStyle w:val="ListBullet"/>
      </w:pPr>
      <w:r>
        <w:t>Entry/exit, occupancy, overstay, lost pass, incident, charging session and fee/recovery.</w:t>
      </w:r>
    </w:p>
    <w:p>
      <w:pPr>
        <w:pStyle w:val="ListBullet"/>
      </w:pPr>
      <w:r>
        <w:t>Locker, bicycle, shower, gym, wellness, recreation, library, creche and other amenity inventory and eligibility.</w:t>
      </w:r>
    </w:p>
    <w:p>
      <w:pPr>
        <w:pStyle w:val="ListBullet"/>
      </w:pPr>
      <w:r>
        <w:t>Amenity booking, capacity, waiver/consent where approved, maintenance, vendor, feedback and chargeback.</w:t>
      </w:r>
    </w:p>
    <w:p>
      <w:pPr>
        <w:pStyle w:val="Heading1"/>
        <w:keepNext/>
      </w:pPr>
      <w:r>
        <w:t>27. Employee Relocation and Mobility Administration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Workstream</w:t>
            </w:r>
          </w:p>
        </w:tc>
        <w:tc>
          <w:tcPr>
            <w:tcW w:type="dxa" w:w="5112"/>
            <w:shd w:fill="17365D"/>
            <w:tcMar>
              <w:top w:w="90" w:type="dxa"/>
              <w:start w:w="100" w:type="dxa"/>
              <w:bottom w:w="90" w:type="dxa"/>
              <w:end w:w="100" w:type="dxa"/>
            </w:tcMar>
            <w:vAlign w:val="center"/>
          </w:tcPr>
          <w:p>
            <w:pPr>
              <w:jc w:val="center"/>
            </w:pPr>
            <w:r>
              <w:rPr>
                <w:b/>
                <w:color w:val="FFFFFF"/>
                <w:sz w:val="15"/>
              </w:rPr>
              <w:t>Coverage</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Case setup</w:t>
            </w:r>
          </w:p>
        </w:tc>
        <w:tc>
          <w:tcPr>
            <w:tcW w:type="dxa" w:w="8352"/>
            <w:tcMar>
              <w:top w:w="90" w:type="dxa"/>
              <w:start w:w="100" w:type="dxa"/>
              <w:bottom w:w="90" w:type="dxa"/>
              <w:end w:w="100" w:type="dxa"/>
            </w:tcMar>
            <w:vAlign w:val="center"/>
          </w:tcPr>
          <w:p>
            <w:pPr>
              <w:spacing w:after="0" w:line="240" w:lineRule="auto"/>
              <w:jc w:val="left"/>
            </w:pPr>
            <w:r>
              <w:rPr>
                <w:color w:val="232D37"/>
                <w:sz w:val="15"/>
              </w:rPr>
              <w:t>Transfer letter/reference, employee/family profile, origin/destination, joining date and policy</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Travel/stay</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Employee/family tickets, temporary accommodation, local movement and extension</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Household goods</w:t>
            </w:r>
          </w:p>
        </w:tc>
        <w:tc>
          <w:tcPr>
            <w:tcW w:type="dxa" w:w="8352"/>
            <w:tcMar>
              <w:top w:w="90" w:type="dxa"/>
              <w:start w:w="100" w:type="dxa"/>
              <w:bottom w:w="90" w:type="dxa"/>
              <w:end w:w="100" w:type="dxa"/>
            </w:tcMar>
            <w:vAlign w:val="center"/>
          </w:tcPr>
          <w:p>
            <w:pPr>
              <w:spacing w:after="0" w:line="240" w:lineRule="auto"/>
              <w:jc w:val="left"/>
            </w:pPr>
            <w:r>
              <w:rPr>
                <w:color w:val="232D37"/>
                <w:sz w:val="15"/>
              </w:rPr>
              <w:t>Survey, packing, inventory, valuation, insurance, transport, storage, delivery and claim</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Office readiness</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Location, seat, access, parking, assets, phone/IT interface and induction</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Family support</w:t>
            </w:r>
          </w:p>
        </w:tc>
        <w:tc>
          <w:tcPr>
            <w:tcW w:type="dxa" w:w="8352"/>
            <w:tcMar>
              <w:top w:w="90" w:type="dxa"/>
              <w:start w:w="100" w:type="dxa"/>
              <w:bottom w:w="90" w:type="dxa"/>
              <w:end w:w="100" w:type="dxa"/>
            </w:tcMar>
            <w:vAlign w:val="center"/>
          </w:tcPr>
          <w:p>
            <w:pPr>
              <w:spacing w:after="0" w:line="240" w:lineRule="auto"/>
              <w:jc w:val="left"/>
            </w:pPr>
            <w:r>
              <w:rPr>
                <w:color w:val="232D37"/>
                <w:sz w:val="15"/>
              </w:rPr>
              <w:t>Dependent travel, school/local information and approved settling support</w:t>
            </w:r>
          </w:p>
        </w:tc>
      </w:tr>
      <w:tr>
        <w:tc>
          <w:tcPr>
            <w:tcW w:type="dxa" w:w="2016"/>
            <w:tcMar>
              <w:top w:w="90" w:type="dxa"/>
              <w:start w:w="100" w:type="dxa"/>
              <w:bottom w:w="90" w:type="dxa"/>
              <w:end w:w="100" w:type="dxa"/>
            </w:tcMar>
            <w:vAlign w:val="center"/>
            <w:shd w:fill="F2F6FA"/>
          </w:tcPr>
          <w:p>
            <w:pPr>
              <w:spacing w:after="0" w:line="240" w:lineRule="auto"/>
              <w:jc w:val="center"/>
            </w:pPr>
            <w:r>
              <w:rPr>
                <w:color w:val="232D37"/>
                <w:sz w:val="15"/>
              </w:rPr>
              <w:t>Financial</w:t>
            </w:r>
          </w:p>
        </w:tc>
        <w:tc>
          <w:tcPr>
            <w:tcW w:type="dxa" w:w="8352"/>
            <w:tcMar>
              <w:top w:w="90" w:type="dxa"/>
              <w:start w:w="100" w:type="dxa"/>
              <w:bottom w:w="90" w:type="dxa"/>
              <w:end w:w="100" w:type="dxa"/>
            </w:tcMar>
            <w:vAlign w:val="center"/>
            <w:shd w:fill="F2F6FA"/>
          </w:tcPr>
          <w:p>
            <w:pPr>
              <w:spacing w:after="0" w:line="240" w:lineRule="auto"/>
              <w:jc w:val="left"/>
            </w:pPr>
            <w:r>
              <w:rPr>
                <w:color w:val="232D37"/>
                <w:sz w:val="15"/>
              </w:rPr>
              <w:t>Entitlement, advance, vendor PO, reimbursement, tax, recovery and final settlement</w:t>
            </w:r>
          </w:p>
        </w:tc>
      </w:tr>
      <w:tr>
        <w:tc>
          <w:tcPr>
            <w:tcW w:type="dxa" w:w="2016"/>
            <w:tcMar>
              <w:top w:w="90" w:type="dxa"/>
              <w:start w:w="100" w:type="dxa"/>
              <w:bottom w:w="90" w:type="dxa"/>
              <w:end w:w="100" w:type="dxa"/>
            </w:tcMar>
            <w:vAlign w:val="center"/>
          </w:tcPr>
          <w:p>
            <w:pPr>
              <w:spacing w:after="0" w:line="240" w:lineRule="auto"/>
              <w:jc w:val="center"/>
            </w:pPr>
            <w:r>
              <w:rPr>
                <w:color w:val="232D37"/>
                <w:sz w:val="15"/>
              </w:rPr>
              <w:t>Closure</w:t>
            </w:r>
          </w:p>
        </w:tc>
        <w:tc>
          <w:tcPr>
            <w:tcW w:type="dxa" w:w="8352"/>
            <w:tcMar>
              <w:top w:w="90" w:type="dxa"/>
              <w:start w:w="100" w:type="dxa"/>
              <w:bottom w:w="90" w:type="dxa"/>
              <w:end w:w="100" w:type="dxa"/>
            </w:tcMar>
            <w:vAlign w:val="center"/>
          </w:tcPr>
          <w:p>
            <w:pPr>
              <w:spacing w:after="0" w:line="240" w:lineRule="auto"/>
              <w:jc w:val="left"/>
            </w:pPr>
            <w:r>
              <w:rPr>
                <w:color w:val="232D37"/>
                <w:sz w:val="15"/>
              </w:rPr>
              <w:t>Delivery acceptance, damage claim, temporary-stay dues, asset updates and feedback</w:t>
            </w:r>
          </w:p>
        </w:tc>
      </w:tr>
    </w:tbl>
    <w:p>
      <w:pPr>
        <w:spacing w:after="40"/>
      </w:pPr>
    </w:p>
    <w:p>
      <w:pPr>
        <w:pStyle w:val="Heading1"/>
        <w:keepNext/>
      </w:pPr>
      <w:r>
        <w:t>28. Procurement Operations and Administrative Buying</w:t>
      </w:r>
    </w:p>
    <w:p>
      <w:pPr>
        <w:pStyle w:val="ListBullet"/>
      </w:pPr>
      <w:r>
        <w:t>Catalogue buying for standard items and services with approved specifications, vendors, rates and lead times.</w:t>
      </w:r>
    </w:p>
    <w:p>
      <w:pPr>
        <w:pStyle w:val="ListBullet"/>
      </w:pPr>
      <w:r>
        <w:t>Non-catalogue request captures business need, alternatives, quantity, delivery, budget, specification and evaluation criteria.</w:t>
      </w:r>
    </w:p>
    <w:p>
      <w:pPr>
        <w:pStyle w:val="ListBullet"/>
      </w:pPr>
      <w:r>
        <w:t>Emergency procurement records immediate risk, verbal authority where policy permits, supplier basis and post-facto approval.</w:t>
      </w:r>
    </w:p>
    <w:p>
      <w:pPr>
        <w:pStyle w:val="ListBullet"/>
      </w:pPr>
      <w:r>
        <w:t>Local purchase defines cash/imprest/card limits, prohibited categories, receipt, asset/inventory treatment and replenishment.</w:t>
      </w:r>
    </w:p>
    <w:p>
      <w:pPr>
        <w:pStyle w:val="ListBullet"/>
      </w:pPr>
      <w:r>
        <w:t>Rate contracts cover location applicability, slab/volume rate, logistics, taxes, escalation, substitute and service level.</w:t>
      </w:r>
    </w:p>
    <w:p>
      <w:pPr>
        <w:pStyle w:val="ListBullet"/>
      </w:pPr>
      <w:r>
        <w:t>Receipt requires count, quality, condition, serial/batch/expiry, asset tag, stock posting and rejection process.</w:t>
      </w:r>
    </w:p>
    <w:p>
      <w:pPr>
        <w:pStyle w:val="ListBullet"/>
      </w:pPr>
      <w:r>
        <w:t>Supplier return, credit note, replacement, warranty claim and invoice hold remain linked to original transaction.</w:t>
      </w:r>
    </w:p>
    <w:p>
      <w:pPr>
        <w:pStyle w:val="Heading1"/>
        <w:keepNext/>
      </w:pPr>
      <w:r>
        <w:t>29. Administrative Finance, Imprest, Cards and Reimbursements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Area</w:t>
            </w:r>
          </w:p>
        </w:tc>
        <w:tc>
          <w:tcPr>
            <w:tcW w:type="dxa" w:w="5112"/>
            <w:shd w:fill="17365D"/>
            <w:tcMar>
              <w:top w:w="90" w:type="dxa"/>
              <w:start w:w="100" w:type="dxa"/>
              <w:bottom w:w="90" w:type="dxa"/>
              <w:end w:w="100" w:type="dxa"/>
            </w:tcMar>
            <w:vAlign w:val="center"/>
          </w:tcPr>
          <w:p>
            <w:pPr>
              <w:jc w:val="center"/>
            </w:pPr>
            <w:r>
              <w:rPr>
                <w:b/>
                <w:color w:val="FFFFFF"/>
                <w:sz w:val="15"/>
              </w:rPr>
              <w:t>Controls</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Imprest/petty cash</w:t>
            </w:r>
          </w:p>
        </w:tc>
        <w:tc>
          <w:tcPr>
            <w:tcW w:type="dxa" w:w="8280"/>
            <w:tcMar>
              <w:top w:w="90" w:type="dxa"/>
              <w:start w:w="100" w:type="dxa"/>
              <w:bottom w:w="90" w:type="dxa"/>
              <w:end w:w="100" w:type="dxa"/>
            </w:tcMar>
            <w:vAlign w:val="center"/>
          </w:tcPr>
          <w:p>
            <w:pPr>
              <w:spacing w:after="0" w:line="240" w:lineRule="auto"/>
              <w:jc w:val="left"/>
            </w:pPr>
            <w:r>
              <w:rPr>
                <w:color w:val="232D37"/>
                <w:sz w:val="15"/>
              </w:rPr>
              <w:t>Custodian, approved float, permitted category, limit, voucher, receipt, replenishment and surprise count</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Corporate/purchase card</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Named card, merchant/category/transaction limits, receipt, allocation, exception and suspension</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Employee reimbursement</w:t>
            </w:r>
          </w:p>
        </w:tc>
        <w:tc>
          <w:tcPr>
            <w:tcW w:type="dxa" w:w="8280"/>
            <w:tcMar>
              <w:top w:w="90" w:type="dxa"/>
              <w:start w:w="100" w:type="dxa"/>
              <w:bottom w:w="90" w:type="dxa"/>
              <w:end w:w="100" w:type="dxa"/>
            </w:tcMar>
            <w:vAlign w:val="center"/>
          </w:tcPr>
          <w:p>
            <w:pPr>
              <w:spacing w:after="0" w:line="240" w:lineRule="auto"/>
              <w:jc w:val="left"/>
            </w:pPr>
            <w:r>
              <w:rPr>
                <w:color w:val="232D37"/>
                <w:sz w:val="15"/>
              </w:rPr>
              <w:t>Eligible type, policy limit, receipt, business purpose, manager, finance validation and payment</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Advance</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Purpose, amount, approver, bank payment, due date, bills, balance return and overdue recovery</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Deposit/retention</w:t>
            </w:r>
          </w:p>
        </w:tc>
        <w:tc>
          <w:tcPr>
            <w:tcW w:type="dxa" w:w="8280"/>
            <w:tcMar>
              <w:top w:w="90" w:type="dxa"/>
              <w:start w:w="100" w:type="dxa"/>
              <w:bottom w:w="90" w:type="dxa"/>
              <w:end w:w="100" w:type="dxa"/>
            </w:tcMar>
            <w:vAlign w:val="center"/>
          </w:tcPr>
          <w:p>
            <w:pPr>
              <w:spacing w:after="0" w:line="240" w:lineRule="auto"/>
              <w:jc w:val="left"/>
            </w:pPr>
            <w:r>
              <w:rPr>
                <w:color w:val="232D37"/>
                <w:sz w:val="15"/>
              </w:rPr>
              <w:t>Vendor/landlord, instrument, purpose, expiry, adjustment, refund and ageing</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Accrual/prepayment</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Service period, basis, reversal, invoice link, allocation and reconciliation</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Chargeback/recovery</w:t>
            </w:r>
          </w:p>
        </w:tc>
        <w:tc>
          <w:tcPr>
            <w:tcW w:type="dxa" w:w="8280"/>
            <w:tcMar>
              <w:top w:w="90" w:type="dxa"/>
              <w:start w:w="100" w:type="dxa"/>
              <w:bottom w:w="90" w:type="dxa"/>
              <w:end w:w="100" w:type="dxa"/>
            </w:tcMar>
            <w:vAlign w:val="center"/>
          </w:tcPr>
          <w:p>
            <w:pPr>
              <w:spacing w:after="0" w:line="240" w:lineRule="auto"/>
              <w:jc w:val="left"/>
            </w:pPr>
            <w:r>
              <w:rPr>
                <w:color w:val="232D37"/>
                <w:sz w:val="15"/>
              </w:rPr>
              <w:t>Employee, department, project, client or vendor recovery, approval, posting and collection</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Tax/accounting</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GL, cost centre, WBS, tax code, capitalization, withholding and document requirements</w:t>
            </w:r>
          </w:p>
        </w:tc>
      </w:tr>
    </w:tbl>
    <w:p>
      <w:pPr>
        <w:spacing w:after="40"/>
      </w:pPr>
    </w:p>
    <w:p>
      <w:pPr>
        <w:pStyle w:val="Heading1"/>
        <w:keepNext/>
      </w:pPr>
      <w:r>
        <w:t>30. Health, Wellness, Medical Room and Emergency Support Interface</w:t>
      </w:r>
    </w:p>
    <w:p>
      <w:pPr>
        <w:pStyle w:val="ListBullet"/>
      </w:pPr>
      <w:r>
        <w:t>Medical-room location, operating hours, provider, staff credential, equipment, medicine/consumable stock and expiry.</w:t>
      </w:r>
    </w:p>
    <w:p>
      <w:pPr>
        <w:pStyle w:val="ListBullet"/>
      </w:pPr>
      <w:r>
        <w:t>Employee/visitor assistance request, first response, ambulance/hospital coordination and emergency contact notification under approved privacy rules.</w:t>
      </w:r>
    </w:p>
    <w:p>
      <w:pPr>
        <w:pStyle w:val="ListBullet"/>
      </w:pPr>
      <w:r>
        <w:t>Incident record separates medical confidentiality from facilities/safety facts and limits access.</w:t>
      </w:r>
    </w:p>
    <w:p>
      <w:pPr>
        <w:pStyle w:val="ListBullet"/>
      </w:pPr>
      <w:r>
        <w:t>Wellness programmes, health camps, ergonomics, counselling-provider interface, registration, capacity and feedback.</w:t>
      </w:r>
    </w:p>
    <w:p>
      <w:pPr>
        <w:pStyle w:val="ListBullet"/>
      </w:pPr>
      <w:r>
        <w:t>First-aid kit inventory, inspection, replenishment, usage record and location coverage.</w:t>
      </w:r>
    </w:p>
    <w:p>
      <w:pPr>
        <w:pStyle w:val="ListBullet"/>
      </w:pPr>
      <w:r>
        <w:t>Emergency response integrates security, transport, access, lift, crowd, communications and business continuity.</w:t>
      </w:r>
    </w:p>
    <w:p>
      <w:pPr>
        <w:pStyle w:val="Heading1"/>
        <w:keepNext/>
      </w:pPr>
      <w:r>
        <w:t>31. Administration Knowledge, Communication and Concierge</w:t>
      </w:r>
    </w:p>
    <w:p>
      <w:pPr>
        <w:pStyle w:val="ListBullet"/>
      </w:pPr>
      <w:r>
        <w:t>Single service catalogue and knowledge base with policy, entitlement, FAQ, form, checklist, location guide and escalation.</w:t>
      </w:r>
    </w:p>
    <w:p>
      <w:pPr>
        <w:pStyle w:val="ListBullet"/>
      </w:pPr>
      <w:r>
        <w:t>AI/email assistant identifies employee, location and service, checks policy and master data, and asks all missing questions in one communication.</w:t>
      </w:r>
    </w:p>
    <w:p>
      <w:pPr>
        <w:pStyle w:val="ListBullet"/>
      </w:pPr>
      <w:r>
        <w:t>Concierge cases may include lost-and-found, local office guidance, amenity assistance, urgent document/logistics support and special-needs coordination.</w:t>
      </w:r>
    </w:p>
    <w:p>
      <w:pPr>
        <w:pStyle w:val="ListBullet"/>
      </w:pPr>
      <w:r>
        <w:t>Planned outage, maintenance, event, transport, food, access and emergency communications use audience, channel, timing and acknowledgement rules.</w:t>
      </w:r>
    </w:p>
    <w:p>
      <w:pPr>
        <w:pStyle w:val="ListBullet"/>
      </w:pPr>
      <w:r>
        <w:t>Every communication is linked to case/event/trip/work order and preserves version, sender, recipient, timestamps and attachments.</w:t>
      </w:r>
    </w:p>
    <w:p>
      <w:pPr>
        <w:pStyle w:val="Heading1"/>
        <w:keepNext/>
      </w:pPr>
      <w:r>
        <w:t>32. Cross-Module Master Data and Workflow Requirements</w:t>
      </w:r>
    </w:p>
    <w:p>
      <w:pPr>
        <w:pStyle w:val="Heading2"/>
        <w:keepNext/>
      </w:pPr>
      <w:r>
        <w:t>32.1 Additional masters required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Master</w:t>
            </w:r>
          </w:p>
        </w:tc>
        <w:tc>
          <w:tcPr>
            <w:tcW w:type="dxa" w:w="5112"/>
            <w:shd w:fill="17365D"/>
            <w:tcMar>
              <w:top w:w="90" w:type="dxa"/>
              <w:start w:w="100" w:type="dxa"/>
              <w:bottom w:w="90" w:type="dxa"/>
              <w:end w:w="100" w:type="dxa"/>
            </w:tcMar>
            <w:vAlign w:val="center"/>
          </w:tcPr>
          <w:p>
            <w:pPr>
              <w:jc w:val="center"/>
            </w:pPr>
            <w:r>
              <w:rPr>
                <w:b/>
                <w:color w:val="FFFFFF"/>
                <w:sz w:val="15"/>
              </w:rPr>
              <w:t>Examples of key data</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Travel policy</w:t>
            </w:r>
          </w:p>
        </w:tc>
        <w:tc>
          <w:tcPr>
            <w:tcW w:type="dxa" w:w="8136"/>
            <w:tcMar>
              <w:top w:w="90" w:type="dxa"/>
              <w:start w:w="100" w:type="dxa"/>
              <w:bottom w:w="90" w:type="dxa"/>
              <w:end w:w="100" w:type="dxa"/>
            </w:tcMar>
            <w:vAlign w:val="center"/>
          </w:tcPr>
          <w:p>
            <w:pPr>
              <w:spacing w:after="0" w:line="240" w:lineRule="auto"/>
              <w:jc w:val="left"/>
            </w:pPr>
            <w:r>
              <w:rPr>
                <w:color w:val="232D37"/>
                <w:sz w:val="15"/>
              </w:rPr>
              <w:t>Traveller category, mode/class, fare rule, hotel cap, allowance, exception and approver</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Destination/city</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Country, city tier, currency, risk, preferred hotel, airport/station and local rates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Route/stop</w:t>
            </w:r>
          </w:p>
        </w:tc>
        <w:tc>
          <w:tcPr>
            <w:tcW w:type="dxa" w:w="8136"/>
            <w:tcMar>
              <w:top w:w="90" w:type="dxa"/>
              <w:start w:w="100" w:type="dxa"/>
              <w:bottom w:w="90" w:type="dxa"/>
              <w:end w:w="100" w:type="dxa"/>
            </w:tcMar>
            <w:vAlign w:val="center"/>
          </w:tcPr>
          <w:p>
            <w:pPr>
              <w:spacing w:after="0" w:line="240" w:lineRule="auto"/>
              <w:jc w:val="left"/>
            </w:pPr>
            <w:r>
              <w:rPr>
                <w:color w:val="232D37"/>
                <w:sz w:val="15"/>
              </w:rPr>
              <w:t>Route, stop geo, schedule, distance, capacity, vendor and safety attributes</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Vehicle/driver</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Compliance, assignment, GPS, shift, maintenance, incident and commercial data</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Event template</w:t>
            </w:r>
          </w:p>
        </w:tc>
        <w:tc>
          <w:tcPr>
            <w:tcW w:type="dxa" w:w="8136"/>
            <w:tcMar>
              <w:top w:w="90" w:type="dxa"/>
              <w:start w:w="100" w:type="dxa"/>
              <w:bottom w:w="90" w:type="dxa"/>
              <w:end w:w="100" w:type="dxa"/>
            </w:tcMar>
            <w:vAlign w:val="center"/>
          </w:tcPr>
          <w:p>
            <w:pPr>
              <w:spacing w:after="0" w:line="240" w:lineRule="auto"/>
              <w:jc w:val="left"/>
            </w:pPr>
            <w:r>
              <w:rPr>
                <w:color w:val="232D37"/>
                <w:sz w:val="15"/>
              </w:rPr>
              <w:t>Type, workflow, checklist, vendors, budget heads, risk and communication</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Venue/hotel/guest house</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Capacity, rooms, amenities, rates, contracts, compliance and blackout</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Visitor/access profile</w:t>
            </w:r>
          </w:p>
        </w:tc>
        <w:tc>
          <w:tcPr>
            <w:tcW w:type="dxa" w:w="8136"/>
            <w:tcMar>
              <w:top w:w="90" w:type="dxa"/>
              <w:start w:w="100" w:type="dxa"/>
              <w:bottom w:w="90" w:type="dxa"/>
              <w:end w:w="100" w:type="dxa"/>
            </w:tcMar>
            <w:vAlign w:val="center"/>
          </w:tcPr>
          <w:p>
            <w:pPr>
              <w:spacing w:after="0" w:line="240" w:lineRule="auto"/>
              <w:jc w:val="left"/>
            </w:pPr>
            <w:r>
              <w:rPr>
                <w:color w:val="232D37"/>
                <w:sz w:val="15"/>
              </w:rPr>
              <w:t>Visitor type, approval, allowed zone, badge, privacy and retention</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Record class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Owner, confidentiality, retention, legal hold, archive and destruction</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Print/gift/kit/uniform catalogue</w:t>
            </w:r>
          </w:p>
        </w:tc>
        <w:tc>
          <w:tcPr>
            <w:tcW w:type="dxa" w:w="8136"/>
            <w:tcMar>
              <w:top w:w="90" w:type="dxa"/>
              <w:start w:w="100" w:type="dxa"/>
              <w:bottom w:w="90" w:type="dxa"/>
              <w:end w:w="100" w:type="dxa"/>
            </w:tcMar>
            <w:vAlign w:val="center"/>
          </w:tcPr>
          <w:p>
            <w:pPr>
              <w:spacing w:after="0" w:line="240" w:lineRule="auto"/>
              <w:jc w:val="left"/>
            </w:pPr>
            <w:r>
              <w:rPr>
                <w:color w:val="232D37"/>
                <w:sz w:val="15"/>
              </w:rPr>
              <w:t>Item, specification, entitlement, rate, stock, approval and supplier</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Administrative policy</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Policy ID/version, applicability, effective date, rule, exception and evidence</w:t>
            </w:r>
          </w:p>
        </w:tc>
      </w:tr>
    </w:tbl>
    <w:p>
      <w:pPr>
        <w:spacing w:after="40"/>
      </w:pPr>
    </w:p>
    <w:p>
      <w:pPr>
        <w:pStyle w:val="Heading2"/>
        <w:keepNext/>
      </w:pPr>
      <w:r>
        <w:t>32.2 Common workflow capabilities</w:t>
      </w:r>
    </w:p>
    <w:p>
      <w:pPr>
        <w:pStyle w:val="ListBullet"/>
      </w:pPr>
      <w:r>
        <w:t>Dynamic request forms driven by service, employee, site, country, risk, entitlement and prior answers.</w:t>
      </w:r>
    </w:p>
    <w:p>
      <w:pPr>
        <w:pStyle w:val="ListBullet"/>
      </w:pPr>
      <w:r>
        <w:t>Consolidated missing-information request rather than repeated emails for each absent field.</w:t>
      </w:r>
    </w:p>
    <w:p>
      <w:pPr>
        <w:pStyle w:val="ListBullet"/>
      </w:pPr>
      <w:r>
        <w:t>Delegation, substitute approver, approval expiry, reminder, escalation, withdrawal and resubmission.</w:t>
      </w:r>
    </w:p>
    <w:p>
      <w:pPr>
        <w:pStyle w:val="ListBullet"/>
      </w:pPr>
      <w:r>
        <w:t>Budget check, cost estimate, commitment, approval threshold, funding split and exception.</w:t>
      </w:r>
    </w:p>
    <w:p>
      <w:pPr>
        <w:pStyle w:val="ListBullet"/>
      </w:pPr>
      <w:r>
        <w:t>Vendor/internal assignment, dispatch, acceptance, roster, checklist, evidence and quality inspection.</w:t>
      </w:r>
    </w:p>
    <w:p>
      <w:pPr>
        <w:pStyle w:val="ListBullet"/>
      </w:pPr>
      <w:r>
        <w:t>Employee, coordinator, approver and vendor communications with multilingual templates.</w:t>
      </w:r>
    </w:p>
    <w:p>
      <w:pPr>
        <w:pStyle w:val="ListBullet"/>
      </w:pPr>
      <w:r>
        <w:t>Change, cancellation, no-show, refund, credit, reschedule, reopen and dispute workflows.</w:t>
      </w:r>
    </w:p>
    <w:p>
      <w:pPr>
        <w:pStyle w:val="ListBullet"/>
      </w:pPr>
      <w:r>
        <w:t>Case linkage across travel, event, transport, room, visitor, asset, purchase, invoice and incident.</w:t>
      </w:r>
    </w:p>
    <w:p>
      <w:pPr>
        <w:pStyle w:val="ListBullet"/>
      </w:pPr>
      <w:r>
        <w:t>Complete audit log of field change, policy decision, approval, document, integration and financial posting.</w:t>
      </w:r>
    </w:p>
    <w:p>
      <w:pPr>
        <w:pStyle w:val="Heading1"/>
        <w:keepNext/>
      </w:pPr>
      <w:r>
        <w:t>33. Expanded Administration Budget and GL Catalogue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Budget family</w:t>
            </w:r>
          </w:p>
        </w:tc>
        <w:tc>
          <w:tcPr>
            <w:tcW w:type="dxa" w:w="5112"/>
            <w:shd w:fill="17365D"/>
            <w:tcMar>
              <w:top w:w="90" w:type="dxa"/>
              <w:start w:w="100" w:type="dxa"/>
              <w:bottom w:w="90" w:type="dxa"/>
              <w:end w:w="100" w:type="dxa"/>
            </w:tcMar>
            <w:vAlign w:val="center"/>
          </w:tcPr>
          <w:p>
            <w:pPr>
              <w:jc w:val="center"/>
            </w:pPr>
            <w:r>
              <w:rPr>
                <w:b/>
                <w:color w:val="FFFFFF"/>
                <w:sz w:val="15"/>
              </w:rPr>
              <w:t>Illustrative subheads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Business travel</w:t>
            </w:r>
          </w:p>
        </w:tc>
        <w:tc>
          <w:tcPr>
            <w:tcW w:type="dxa" w:w="8136"/>
            <w:tcMar>
              <w:top w:w="90" w:type="dxa"/>
              <w:start w:w="100" w:type="dxa"/>
              <w:bottom w:w="90" w:type="dxa"/>
              <w:end w:w="100" w:type="dxa"/>
            </w:tcMar>
            <w:vAlign w:val="center"/>
          </w:tcPr>
          <w:p>
            <w:pPr>
              <w:spacing w:after="0" w:line="240" w:lineRule="auto"/>
              <w:jc w:val="left"/>
            </w:pPr>
            <w:r>
              <w:rPr>
                <w:color w:val="232D37"/>
                <w:sz w:val="15"/>
              </w:rPr>
              <w:t>Air, rail, bus, hotel, visa, insurance, forex, per diem, cab, fees and cancellation</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Employee transport</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Shuttle, cab, coach, GPS/control room, toll, parking and safety</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Fleet</w:t>
            </w:r>
          </w:p>
        </w:tc>
        <w:tc>
          <w:tcPr>
            <w:tcW w:type="dxa" w:w="8136"/>
            <w:tcMar>
              <w:top w:w="90" w:type="dxa"/>
              <w:start w:w="100" w:type="dxa"/>
              <w:bottom w:w="90" w:type="dxa"/>
              <w:end w:w="100" w:type="dxa"/>
            </w:tcMar>
            <w:vAlign w:val="center"/>
          </w:tcPr>
          <w:p>
            <w:pPr>
              <w:spacing w:after="0" w:line="240" w:lineRule="auto"/>
              <w:jc w:val="left"/>
            </w:pPr>
            <w:r>
              <w:rPr>
                <w:color w:val="232D37"/>
                <w:sz w:val="15"/>
              </w:rPr>
              <w:t>Lease, driver, fuel/charging, toll, tax, insurance, maintenance, fines and disposal</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Events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Venue, food, production, travel, branding, speaker, agency, gifts, safety and contingency</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Accommodation</w:t>
            </w:r>
          </w:p>
        </w:tc>
        <w:tc>
          <w:tcPr>
            <w:tcW w:type="dxa" w:w="8136"/>
            <w:tcMar>
              <w:top w:w="90" w:type="dxa"/>
              <w:start w:w="100" w:type="dxa"/>
              <w:bottom w:w="90" w:type="dxa"/>
              <w:end w:w="100" w:type="dxa"/>
            </w:tcMar>
            <w:vAlign w:val="center"/>
          </w:tcPr>
          <w:p>
            <w:pPr>
              <w:spacing w:after="0" w:line="240" w:lineRule="auto"/>
              <w:jc w:val="left"/>
            </w:pPr>
            <w:r>
              <w:rPr>
                <w:color w:val="232D37"/>
                <w:sz w:val="15"/>
              </w:rPr>
              <w:t>Guest house, hotel, meals, linen, housekeeping, maintenance and employee recovery</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Courier/logistics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Domestic/international courier, interoffice bag, freight, packing, storage and claims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Records</w:t>
            </w:r>
          </w:p>
        </w:tc>
        <w:tc>
          <w:tcPr>
            <w:tcW w:type="dxa" w:w="8136"/>
            <w:tcMar>
              <w:top w:w="90" w:type="dxa"/>
              <w:start w:w="100" w:type="dxa"/>
              <w:bottom w:w="90" w:type="dxa"/>
              <w:end w:w="100" w:type="dxa"/>
            </w:tcMar>
            <w:vAlign w:val="center"/>
          </w:tcPr>
          <w:p>
            <w:pPr>
              <w:spacing w:after="0" w:line="240" w:lineRule="auto"/>
              <w:jc w:val="left"/>
            </w:pPr>
            <w:r>
              <w:rPr>
                <w:color w:val="232D37"/>
                <w:sz w:val="15"/>
              </w:rPr>
              <w:t>Storage, retrieval, scan, transport, destruction and certification</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Printing</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Paper, toner, managed print, business cards, forms, secure print and signage</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Gifts/kits/uniforms</w:t>
            </w:r>
          </w:p>
        </w:tc>
        <w:tc>
          <w:tcPr>
            <w:tcW w:type="dxa" w:w="8136"/>
            <w:tcMar>
              <w:top w:w="90" w:type="dxa"/>
              <w:start w:w="100" w:type="dxa"/>
              <w:bottom w:w="90" w:type="dxa"/>
              <w:end w:w="100" w:type="dxa"/>
            </w:tcMar>
            <w:vAlign w:val="center"/>
          </w:tcPr>
          <w:p>
            <w:pPr>
              <w:spacing w:after="0" w:line="240" w:lineRule="auto"/>
              <w:jc w:val="left"/>
            </w:pPr>
            <w:r>
              <w:rPr>
                <w:color w:val="232D37"/>
                <w:sz w:val="15"/>
              </w:rPr>
              <w:t>Product, branding, packing, courier, replacement and tax</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Medical/wellness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Provider, ambulance, medical room, consumables, camps and ergonomics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Visitor/reception</w:t>
            </w:r>
          </w:p>
        </w:tc>
        <w:tc>
          <w:tcPr>
            <w:tcW w:type="dxa" w:w="8136"/>
            <w:tcMar>
              <w:top w:w="90" w:type="dxa"/>
              <w:start w:w="100" w:type="dxa"/>
              <w:bottom w:w="90" w:type="dxa"/>
              <w:end w:w="100" w:type="dxa"/>
            </w:tcMar>
            <w:vAlign w:val="center"/>
          </w:tcPr>
          <w:p>
            <w:pPr>
              <w:spacing w:after="0" w:line="240" w:lineRule="auto"/>
              <w:jc w:val="left"/>
            </w:pPr>
            <w:r>
              <w:rPr>
                <w:color w:val="232D37"/>
                <w:sz w:val="15"/>
              </w:rPr>
              <w:t>Reception manpower, badge, visitor system, hospitality and parking</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Amenities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Gym, creche, recreation, lockers, parking, EV charging and wellness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Administrative finance</w:t>
            </w:r>
          </w:p>
        </w:tc>
        <w:tc>
          <w:tcPr>
            <w:tcW w:type="dxa" w:w="8136"/>
            <w:tcMar>
              <w:top w:w="90" w:type="dxa"/>
              <w:start w:w="100" w:type="dxa"/>
              <w:bottom w:w="90" w:type="dxa"/>
              <w:end w:w="100" w:type="dxa"/>
            </w:tcMar>
            <w:vAlign w:val="center"/>
          </w:tcPr>
          <w:p>
            <w:pPr>
              <w:spacing w:after="0" w:line="240" w:lineRule="auto"/>
              <w:jc w:val="left"/>
            </w:pPr>
            <w:r>
              <w:rPr>
                <w:color w:val="232D37"/>
                <w:sz w:val="15"/>
              </w:rPr>
              <w:t>Imprest, card fees, advances, deposits, recoveries and write-offs</w:t>
            </w:r>
          </w:p>
        </w:tc>
      </w:tr>
    </w:tbl>
    <w:p>
      <w:pPr>
        <w:spacing w:after="40"/>
      </w:pPr>
    </w:p>
    <w:p>
      <w:pPr>
        <w:pStyle w:val="Heading1"/>
        <w:keepNext/>
      </w:pPr>
      <w:r>
        <w:t>34. Expanded Data-Collection Workbooks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Workbook</w:t>
            </w:r>
          </w:p>
        </w:tc>
        <w:tc>
          <w:tcPr>
            <w:tcW w:type="dxa" w:w="5112"/>
            <w:shd w:fill="17365D"/>
            <w:tcMar>
              <w:top w:w="90" w:type="dxa"/>
              <w:start w:w="100" w:type="dxa"/>
              <w:bottom w:w="90" w:type="dxa"/>
              <w:end w:w="100" w:type="dxa"/>
            </w:tcMar>
            <w:vAlign w:val="center"/>
          </w:tcPr>
          <w:p>
            <w:pPr>
              <w:jc w:val="center"/>
            </w:pPr>
            <w:r>
              <w:rPr>
                <w:b/>
                <w:color w:val="FFFFFF"/>
                <w:sz w:val="15"/>
              </w:rPr>
              <w:t>Minimum tabs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Travel</w:t>
            </w:r>
          </w:p>
        </w:tc>
        <w:tc>
          <w:tcPr>
            <w:tcW w:type="dxa" w:w="8136"/>
            <w:tcMar>
              <w:top w:w="90" w:type="dxa"/>
              <w:start w:w="100" w:type="dxa"/>
              <w:bottom w:w="90" w:type="dxa"/>
              <w:end w:w="100" w:type="dxa"/>
            </w:tcMar>
            <w:vAlign w:val="center"/>
          </w:tcPr>
          <w:p>
            <w:pPr>
              <w:spacing w:after="0" w:line="240" w:lineRule="auto"/>
              <w:jc w:val="left"/>
            </w:pPr>
            <w:r>
              <w:rPr>
                <w:color w:val="232D37"/>
                <w:sz w:val="15"/>
              </w:rPr>
              <w:t>Policy, entitlement, city tier, preferred supplier, traveller documents, historical trips and unused credits</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Events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Event type, template, venue, supplier, checklist, rate card, budget, attendee and historical event</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Transport/fleet</w:t>
            </w:r>
          </w:p>
        </w:tc>
        <w:tc>
          <w:tcPr>
            <w:tcW w:type="dxa" w:w="8136"/>
            <w:tcMar>
              <w:top w:w="90" w:type="dxa"/>
              <w:start w:w="100" w:type="dxa"/>
              <w:bottom w:w="90" w:type="dxa"/>
              <w:end w:w="100" w:type="dxa"/>
            </w:tcMar>
            <w:vAlign w:val="center"/>
          </w:tcPr>
          <w:p>
            <w:pPr>
              <w:spacing w:after="0" w:line="240" w:lineRule="auto"/>
              <w:jc w:val="left"/>
            </w:pPr>
            <w:r>
              <w:rPr>
                <w:color w:val="232D37"/>
                <w:sz w:val="15"/>
              </w:rPr>
              <w:t>Route, stop, employee roster, vehicle, driver, compliance, trip, fuel and maintenance</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Accommodation</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Property, room, tariff, entitlement, booking, occupancy, service and recovery</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Visitors</w:t>
            </w:r>
          </w:p>
        </w:tc>
        <w:tc>
          <w:tcPr>
            <w:tcW w:type="dxa" w:w="8136"/>
            <w:tcMar>
              <w:top w:w="90" w:type="dxa"/>
              <w:start w:w="100" w:type="dxa"/>
              <w:bottom w:w="90" w:type="dxa"/>
              <w:end w:w="100" w:type="dxa"/>
            </w:tcMar>
            <w:vAlign w:val="center"/>
          </w:tcPr>
          <w:p>
            <w:pPr>
              <w:spacing w:after="0" w:line="240" w:lineRule="auto"/>
              <w:jc w:val="left"/>
            </w:pPr>
            <w:r>
              <w:rPr>
                <w:color w:val="232D37"/>
                <w:sz w:val="15"/>
              </w:rPr>
              <w:t>Visitor type, access zone, approval, badge, material pass, parking and retention rule</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Courier/logistics</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Service type, lane, SLA, rate, location, shipment history and claims</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Records</w:t>
            </w:r>
          </w:p>
        </w:tc>
        <w:tc>
          <w:tcPr>
            <w:tcW w:type="dxa" w:w="8136"/>
            <w:tcMar>
              <w:top w:w="90" w:type="dxa"/>
              <w:start w:w="100" w:type="dxa"/>
              <w:bottom w:w="90" w:type="dxa"/>
              <w:end w:w="100" w:type="dxa"/>
            </w:tcMar>
            <w:vAlign w:val="center"/>
          </w:tcPr>
          <w:p>
            <w:pPr>
              <w:spacing w:after="0" w:line="240" w:lineRule="auto"/>
              <w:jc w:val="left"/>
            </w:pPr>
            <w:r>
              <w:rPr>
                <w:color w:val="232D37"/>
                <w:sz w:val="15"/>
              </w:rPr>
              <w:t>Record class, retention, box/file, location, retrieval, legal hold and destruction</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Print/controlled stationery</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Catalogue, template, serial range, stock, vendor, rate and issue history</w:t>
            </w:r>
          </w:p>
        </w:tc>
      </w:tr>
      <w:tr>
        <w:tc>
          <w:tcPr>
            <w:tcW w:type="dxa" w:w="2232"/>
            <w:tcMar>
              <w:top w:w="90" w:type="dxa"/>
              <w:start w:w="100" w:type="dxa"/>
              <w:bottom w:w="90" w:type="dxa"/>
              <w:end w:w="100" w:type="dxa"/>
            </w:tcMar>
            <w:vAlign w:val="center"/>
          </w:tcPr>
          <w:p>
            <w:pPr>
              <w:spacing w:after="0" w:line="240" w:lineRule="auto"/>
              <w:jc w:val="center"/>
            </w:pPr>
            <w:r>
              <w:rPr>
                <w:color w:val="232D37"/>
                <w:sz w:val="15"/>
              </w:rPr>
              <w:t>Gifts/kits/uniform/PPE</w:t>
            </w:r>
          </w:p>
        </w:tc>
        <w:tc>
          <w:tcPr>
            <w:tcW w:type="dxa" w:w="8136"/>
            <w:tcMar>
              <w:top w:w="90" w:type="dxa"/>
              <w:start w:w="100" w:type="dxa"/>
              <w:bottom w:w="90" w:type="dxa"/>
              <w:end w:w="100" w:type="dxa"/>
            </w:tcMar>
            <w:vAlign w:val="center"/>
          </w:tcPr>
          <w:p>
            <w:pPr>
              <w:spacing w:after="0" w:line="240" w:lineRule="auto"/>
              <w:jc w:val="left"/>
            </w:pPr>
            <w:r>
              <w:rPr>
                <w:color w:val="232D37"/>
                <w:sz w:val="15"/>
              </w:rPr>
              <w:t>Catalogue, entitlement, size, stock, issue, return, vendor and cost</w:t>
            </w:r>
          </w:p>
        </w:tc>
      </w:tr>
      <w:tr>
        <w:tc>
          <w:tcPr>
            <w:tcW w:type="dxa" w:w="2232"/>
            <w:tcMar>
              <w:top w:w="90" w:type="dxa"/>
              <w:start w:w="100" w:type="dxa"/>
              <w:bottom w:w="90" w:type="dxa"/>
              <w:end w:w="100" w:type="dxa"/>
            </w:tcMar>
            <w:vAlign w:val="center"/>
            <w:shd w:fill="F2F6FA"/>
          </w:tcPr>
          <w:p>
            <w:pPr>
              <w:spacing w:after="0" w:line="240" w:lineRule="auto"/>
              <w:jc w:val="center"/>
            </w:pPr>
            <w:r>
              <w:rPr>
                <w:color w:val="232D37"/>
                <w:sz w:val="15"/>
              </w:rPr>
              <w:t>Admin finance</w:t>
            </w:r>
          </w:p>
        </w:tc>
        <w:tc>
          <w:tcPr>
            <w:tcW w:type="dxa" w:w="8136"/>
            <w:tcMar>
              <w:top w:w="90" w:type="dxa"/>
              <w:start w:w="100" w:type="dxa"/>
              <w:bottom w:w="90" w:type="dxa"/>
              <w:end w:w="100" w:type="dxa"/>
            </w:tcMar>
            <w:vAlign w:val="center"/>
            <w:shd w:fill="F2F6FA"/>
          </w:tcPr>
          <w:p>
            <w:pPr>
              <w:spacing w:after="0" w:line="240" w:lineRule="auto"/>
              <w:jc w:val="left"/>
            </w:pPr>
            <w:r>
              <w:rPr>
                <w:color w:val="232D37"/>
                <w:sz w:val="15"/>
              </w:rPr>
              <w:t>Imprest, card, advance, deposit, recovery, GL, tax and approval limits</w:t>
            </w:r>
          </w:p>
        </w:tc>
      </w:tr>
    </w:tbl>
    <w:p>
      <w:pPr>
        <w:spacing w:after="40"/>
      </w:pPr>
    </w:p>
    <w:p>
      <w:pPr>
        <w:pStyle w:val="Heading1"/>
        <w:keepNext/>
      </w:pPr>
      <w:r>
        <w:t>35. Expanded Dashboards and Control Tower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tcMar>
              <w:top w:w="90" w:type="dxa"/>
              <w:start w:w="100" w:type="dxa"/>
              <w:bottom w:w="90" w:type="dxa"/>
              <w:end w:w="100" w:type="dxa"/>
            </w:tcMar>
            <w:vAlign w:val="center"/>
          </w:tcPr>
          <w:p>
            <w:pPr>
              <w:jc w:val="center"/>
            </w:pPr>
            <w:r>
              <w:rPr>
                <w:b/>
                <w:color w:val="FFFFFF"/>
                <w:sz w:val="15"/>
              </w:rPr>
              <w:t>Dashboard</w:t>
            </w:r>
          </w:p>
        </w:tc>
        <w:tc>
          <w:tcPr>
            <w:tcW w:type="dxa" w:w="5112"/>
            <w:shd w:fill="17365D"/>
            <w:tcMar>
              <w:top w:w="90" w:type="dxa"/>
              <w:start w:w="100" w:type="dxa"/>
              <w:bottom w:w="90" w:type="dxa"/>
              <w:end w:w="100" w:type="dxa"/>
            </w:tcMar>
            <w:vAlign w:val="center"/>
          </w:tcPr>
          <w:p>
            <w:pPr>
              <w:jc w:val="center"/>
            </w:pPr>
            <w:r>
              <w:rPr>
                <w:b/>
                <w:color w:val="FFFFFF"/>
                <w:sz w:val="15"/>
              </w:rPr>
              <w:t>Critical measures</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Travel</w:t>
            </w:r>
          </w:p>
        </w:tc>
        <w:tc>
          <w:tcPr>
            <w:tcW w:type="dxa" w:w="8280"/>
            <w:tcMar>
              <w:top w:w="90" w:type="dxa"/>
              <w:start w:w="100" w:type="dxa"/>
              <w:bottom w:w="90" w:type="dxa"/>
              <w:end w:w="100" w:type="dxa"/>
            </w:tcMar>
            <w:vAlign w:val="center"/>
          </w:tcPr>
          <w:p>
            <w:pPr>
              <w:spacing w:after="0" w:line="240" w:lineRule="auto"/>
              <w:jc w:val="left"/>
            </w:pPr>
            <w:r>
              <w:rPr>
                <w:color w:val="232D37"/>
                <w:sz w:val="15"/>
              </w:rPr>
              <w:t>Trips, spend, policy compliance, advance booking, unused credits, refunds, risk and carbon</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Events</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Pipeline, milestone, attendance, budget, cost/participant, incidents, feedback and closure</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Transport</w:t>
            </w:r>
          </w:p>
        </w:tc>
        <w:tc>
          <w:tcPr>
            <w:tcW w:type="dxa" w:w="8280"/>
            <w:tcMar>
              <w:top w:w="90" w:type="dxa"/>
              <w:start w:w="100" w:type="dxa"/>
              <w:bottom w:w="90" w:type="dxa"/>
              <w:end w:w="100" w:type="dxa"/>
            </w:tcMar>
            <w:vAlign w:val="center"/>
          </w:tcPr>
          <w:p>
            <w:pPr>
              <w:spacing w:after="0" w:line="240" w:lineRule="auto"/>
              <w:jc w:val="left"/>
            </w:pPr>
            <w:r>
              <w:rPr>
                <w:color w:val="232D37"/>
                <w:sz w:val="15"/>
              </w:rPr>
              <w:t>Live trips, delays, SOS, utilisation, no-show, compliance, cost/km/seat and penalties</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Fleet</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Availability, utilisation, fuel efficiency, compliance due, maintenance, incidents and TCO</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Accommodation</w:t>
            </w:r>
          </w:p>
        </w:tc>
        <w:tc>
          <w:tcPr>
            <w:tcW w:type="dxa" w:w="8280"/>
            <w:tcMar>
              <w:top w:w="90" w:type="dxa"/>
              <w:start w:w="100" w:type="dxa"/>
              <w:bottom w:w="90" w:type="dxa"/>
              <w:end w:w="100" w:type="dxa"/>
            </w:tcMar>
            <w:vAlign w:val="center"/>
          </w:tcPr>
          <w:p>
            <w:pPr>
              <w:spacing w:after="0" w:line="240" w:lineRule="auto"/>
              <w:jc w:val="left"/>
            </w:pPr>
            <w:r>
              <w:rPr>
                <w:color w:val="232D37"/>
                <w:sz w:val="15"/>
              </w:rPr>
              <w:t>Occupancy, room nights, denial, no-show, cost, recovery, quality and maintenance</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Visitor</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Expected/on-site/overstay, wait time, denied access, badge/material pending and footfall</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Courier</w:t>
            </w:r>
          </w:p>
        </w:tc>
        <w:tc>
          <w:tcPr>
            <w:tcW w:type="dxa" w:w="8280"/>
            <w:tcMar>
              <w:top w:w="90" w:type="dxa"/>
              <w:start w:w="100" w:type="dxa"/>
              <w:bottom w:w="90" w:type="dxa"/>
              <w:end w:w="100" w:type="dxa"/>
            </w:tcMar>
            <w:vAlign w:val="center"/>
          </w:tcPr>
          <w:p>
            <w:pPr>
              <w:spacing w:after="0" w:line="240" w:lineRule="auto"/>
              <w:jc w:val="left"/>
            </w:pPr>
            <w:r>
              <w:rPr>
                <w:color w:val="232D37"/>
                <w:sz w:val="15"/>
              </w:rPr>
              <w:t>Volume, delivery SLA, cost, undelivered, claim, lane and vendor performance</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Records</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Boxes/files, retrieval SLA, overdue, legal hold, retention due and destruction proof</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Print/inventory</w:t>
            </w:r>
          </w:p>
        </w:tc>
        <w:tc>
          <w:tcPr>
            <w:tcW w:type="dxa" w:w="8280"/>
            <w:tcMar>
              <w:top w:w="90" w:type="dxa"/>
              <w:start w:w="100" w:type="dxa"/>
              <w:bottom w:w="90" w:type="dxa"/>
              <w:end w:w="100" w:type="dxa"/>
            </w:tcMar>
            <w:vAlign w:val="center"/>
          </w:tcPr>
          <w:p>
            <w:pPr>
              <w:spacing w:after="0" w:line="240" w:lineRule="auto"/>
              <w:jc w:val="left"/>
            </w:pPr>
            <w:r>
              <w:rPr>
                <w:color w:val="232D37"/>
                <w:sz w:val="15"/>
              </w:rPr>
              <w:t>Jobs, volume, cost/page, controlled balance, stock, wastage and sustainability</w:t>
            </w:r>
          </w:p>
        </w:tc>
      </w:tr>
      <w:tr>
        <w:tc>
          <w:tcPr>
            <w:tcW w:type="dxa" w:w="2088"/>
            <w:tcMar>
              <w:top w:w="90" w:type="dxa"/>
              <w:start w:w="100" w:type="dxa"/>
              <w:bottom w:w="90" w:type="dxa"/>
              <w:end w:w="100" w:type="dxa"/>
            </w:tcMar>
            <w:vAlign w:val="center"/>
            <w:shd w:fill="F2F6FA"/>
          </w:tcPr>
          <w:p>
            <w:pPr>
              <w:spacing w:after="0" w:line="240" w:lineRule="auto"/>
              <w:jc w:val="center"/>
            </w:pPr>
            <w:r>
              <w:rPr>
                <w:color w:val="232D37"/>
                <w:sz w:val="15"/>
              </w:rPr>
              <w:t>Gifts/kits/uniforms</w:t>
            </w:r>
          </w:p>
        </w:tc>
        <w:tc>
          <w:tcPr>
            <w:tcW w:type="dxa" w:w="8280"/>
            <w:tcMar>
              <w:top w:w="90" w:type="dxa"/>
              <w:start w:w="100" w:type="dxa"/>
              <w:bottom w:w="90" w:type="dxa"/>
              <w:end w:w="100" w:type="dxa"/>
            </w:tcMar>
            <w:vAlign w:val="center"/>
            <w:shd w:fill="F2F6FA"/>
          </w:tcPr>
          <w:p>
            <w:pPr>
              <w:spacing w:after="0" w:line="240" w:lineRule="auto"/>
              <w:jc w:val="left"/>
            </w:pPr>
            <w:r>
              <w:rPr>
                <w:color w:val="232D37"/>
                <w:sz w:val="15"/>
              </w:rPr>
              <w:t>Entitlement, issued, balance, ageing, acknowledgement, recovery and spend</w:t>
            </w:r>
          </w:p>
        </w:tc>
      </w:tr>
      <w:tr>
        <w:tc>
          <w:tcPr>
            <w:tcW w:type="dxa" w:w="2088"/>
            <w:tcMar>
              <w:top w:w="90" w:type="dxa"/>
              <w:start w:w="100" w:type="dxa"/>
              <w:bottom w:w="90" w:type="dxa"/>
              <w:end w:w="100" w:type="dxa"/>
            </w:tcMar>
            <w:vAlign w:val="center"/>
          </w:tcPr>
          <w:p>
            <w:pPr>
              <w:spacing w:after="0" w:line="240" w:lineRule="auto"/>
              <w:jc w:val="center"/>
            </w:pPr>
            <w:r>
              <w:rPr>
                <w:color w:val="232D37"/>
                <w:sz w:val="15"/>
              </w:rPr>
              <w:t>Admin finance</w:t>
            </w:r>
          </w:p>
        </w:tc>
        <w:tc>
          <w:tcPr>
            <w:tcW w:type="dxa" w:w="8280"/>
            <w:tcMar>
              <w:top w:w="90" w:type="dxa"/>
              <w:start w:w="100" w:type="dxa"/>
              <w:bottom w:w="90" w:type="dxa"/>
              <w:end w:w="100" w:type="dxa"/>
            </w:tcMar>
            <w:vAlign w:val="center"/>
          </w:tcPr>
          <w:p>
            <w:pPr>
              <w:spacing w:after="0" w:line="240" w:lineRule="auto"/>
              <w:jc w:val="left"/>
            </w:pPr>
            <w:r>
              <w:rPr>
                <w:color w:val="232D37"/>
                <w:sz w:val="15"/>
              </w:rPr>
              <w:t>Advance ageing, unreconciled card, imprest variance, deposits, recoveries and accruals</w:t>
            </w:r>
          </w:p>
        </w:tc>
      </w:tr>
    </w:tbl>
    <w:p>
      <w:pPr>
        <w:spacing w:after="40"/>
      </w:pPr>
    </w:p>
    <w:p>
      <w:pPr>
        <w:pStyle w:val="Heading1"/>
        <w:keepNext/>
      </w:pPr>
      <w:r>
        <w:t>36. Comprehensive Service Coverage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Mar>
              <w:top w:w="90" w:type="dxa"/>
              <w:start w:w="100" w:type="dxa"/>
              <w:bottom w:w="90" w:type="dxa"/>
              <w:end w:w="100" w:type="dxa"/>
            </w:tcMar>
            <w:vAlign w:val="center"/>
          </w:tcPr>
          <w:p>
            <w:pPr>
              <w:jc w:val="center"/>
            </w:pPr>
            <w:r>
              <w:rPr>
                <w:b/>
                <w:color w:val="FFFFFF"/>
                <w:sz w:val="14"/>
              </w:rPr>
              <w:t>Service domain</w:t>
            </w:r>
          </w:p>
        </w:tc>
        <w:tc>
          <w:tcPr>
            <w:tcW w:type="dxa" w:w="3408"/>
            <w:shd w:fill="17365D"/>
            <w:tcMar>
              <w:top w:w="90" w:type="dxa"/>
              <w:start w:w="100" w:type="dxa"/>
              <w:bottom w:w="90" w:type="dxa"/>
              <w:end w:w="100" w:type="dxa"/>
            </w:tcMar>
            <w:vAlign w:val="center"/>
          </w:tcPr>
          <w:p>
            <w:pPr>
              <w:jc w:val="center"/>
            </w:pPr>
            <w:r>
              <w:rPr>
                <w:b/>
                <w:color w:val="FFFFFF"/>
                <w:sz w:val="14"/>
              </w:rPr>
              <w:t>Status</w:t>
            </w:r>
          </w:p>
        </w:tc>
        <w:tc>
          <w:tcPr>
            <w:tcW w:type="dxa" w:w="3408"/>
            <w:shd w:fill="17365D"/>
            <w:tcMar>
              <w:top w:w="90" w:type="dxa"/>
              <w:start w:w="100" w:type="dxa"/>
              <w:bottom w:w="90" w:type="dxa"/>
              <w:end w:w="100" w:type="dxa"/>
            </w:tcMar>
            <w:vAlign w:val="center"/>
          </w:tcPr>
          <w:p>
            <w:pPr>
              <w:jc w:val="center"/>
            </w:pPr>
            <w:r>
              <w:rPr>
                <w:b/>
                <w:color w:val="FFFFFF"/>
                <w:sz w:val="14"/>
              </w:rPr>
              <w:t>Lifecycle standard</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Organisation and location hierarchy</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Real estate, lease and property</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Space, workplace and occupancy</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Engineering infrastructure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Assets, warranty, AMC and lifecycle</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Housekeeping and pest control</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HK consumables and inventory</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Stationery and controlled stationery</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Pantry, vending and cafeteria</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Security and access interface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Fire, safety and emergency</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Utilities, energy, water, waste and ESG</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Employee requests and service desk</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Preventive/corrective maintenance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Projects, fit-out, move and branch lifecycle</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Vendors, contracts, procurement and invoices</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Budget, CAPEX, OPEX, accrual and forecast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Corporate travel and expense reconciliation</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Group/event travel</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Meetings, conferences and events</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Employee transport and shuttle</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Ad hoc cab and airport transfer</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Fleet and driver management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Guest house and temporary accommodation</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Reception and visitor management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Mailroom, courier and interoffice bags</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Logistics, freight and material movement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Records, archive, digitisation and destruction</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Printing and reprographics</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Corporate gifting, awards and merchandise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Joining, transfer and separation kits</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Uniform, linen and PPE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Keys, seals, stamps and custodial items</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Parking and EV charging</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Workplace amenities and wellness</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Employee relocation/mobility</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Medical room and emergency support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Administrative imprest, cards and reimbursements</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Concierge, lost-and-found and local support</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Knowledge, communication and AI assistance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tcPr>
          <w:p>
            <w:pPr>
              <w:spacing w:after="0" w:line="240" w:lineRule="auto"/>
              <w:jc w:val="center"/>
            </w:pPr>
            <w:r>
              <w:rPr>
                <w:color w:val="232D37"/>
                <w:sz w:val="14"/>
              </w:rPr>
              <w:t>Compliance, risk, audit and business continuity</w:t>
            </w:r>
          </w:p>
        </w:tc>
        <w:tc>
          <w:tcPr>
            <w:tcW w:type="dxa" w:w="1080"/>
            <w:tcMar>
              <w:top w:w="90" w:type="dxa"/>
              <w:start w:w="100" w:type="dxa"/>
              <w:bottom w:w="90" w:type="dxa"/>
              <w:end w:w="100" w:type="dxa"/>
            </w:tcMar>
            <w:vAlign w:val="center"/>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tcPr>
          <w:p>
            <w:pPr>
              <w:spacing w:after="0" w:line="240" w:lineRule="auto"/>
              <w:jc w:val="left"/>
            </w:pPr>
            <w:r>
              <w:rPr>
                <w:color w:val="232D37"/>
                <w:sz w:val="14"/>
              </w:rPr>
              <w:t>Policy -&gt; request -&gt; approval -&gt; fulfilment -&gt; evidence -&gt; commercial closure -&gt; reporting</w:t>
            </w:r>
          </w:p>
        </w:tc>
      </w:tr>
      <w:tr>
        <w:tc>
          <w:tcPr>
            <w:tcW w:type="dxa" w:w="4392"/>
            <w:tcMar>
              <w:top w:w="90" w:type="dxa"/>
              <w:start w:w="100" w:type="dxa"/>
              <w:bottom w:w="90" w:type="dxa"/>
              <w:end w:w="100" w:type="dxa"/>
            </w:tcMar>
            <w:vAlign w:val="center"/>
            <w:shd w:fill="F2F6FA"/>
          </w:tcPr>
          <w:p>
            <w:pPr>
              <w:spacing w:after="0" w:line="240" w:lineRule="auto"/>
              <w:jc w:val="center"/>
            </w:pPr>
            <w:r>
              <w:rPr>
                <w:color w:val="232D37"/>
                <w:sz w:val="14"/>
              </w:rPr>
              <w:t>Dashboards, integrations and data governance</w:t>
            </w:r>
          </w:p>
        </w:tc>
        <w:tc>
          <w:tcPr>
            <w:tcW w:type="dxa" w:w="1080"/>
            <w:tcMar>
              <w:top w:w="90" w:type="dxa"/>
              <w:start w:w="100" w:type="dxa"/>
              <w:bottom w:w="90" w:type="dxa"/>
              <w:end w:w="100" w:type="dxa"/>
            </w:tcMar>
            <w:vAlign w:val="center"/>
            <w:shd w:fill="F2F6FA"/>
          </w:tcPr>
          <w:p>
            <w:pPr>
              <w:spacing w:after="0" w:line="240" w:lineRule="auto"/>
              <w:jc w:val="center"/>
            </w:pPr>
            <w:r>
              <w:rPr>
                <w:color w:val="232D37"/>
                <w:sz w:val="14"/>
              </w:rPr>
              <w:t>Included</w:t>
            </w:r>
          </w:p>
        </w:tc>
        <w:tc>
          <w:tcPr>
            <w:tcW w:type="dxa" w:w="4896"/>
            <w:tcMar>
              <w:top w:w="90" w:type="dxa"/>
              <w:start w:w="100" w:type="dxa"/>
              <w:bottom w:w="90" w:type="dxa"/>
              <w:end w:w="100" w:type="dxa"/>
            </w:tcMar>
            <w:vAlign w:val="center"/>
            <w:shd w:fill="F2F6FA"/>
          </w:tcPr>
          <w:p>
            <w:pPr>
              <w:spacing w:after="0" w:line="240" w:lineRule="auto"/>
              <w:jc w:val="left"/>
            </w:pPr>
            <w:r>
              <w:rPr>
                <w:color w:val="232D37"/>
                <w:sz w:val="14"/>
              </w:rPr>
              <w:t>Policy -&gt; request -&gt; approval -&gt; fulfilment -&gt; evidence -&gt; commercial closure -&gt; reporting</w:t>
            </w:r>
          </w:p>
        </w:tc>
      </w:tr>
    </w:tbl>
    <w:p>
      <w:pPr>
        <w:spacing w:after="40"/>
      </w:pPr>
    </w:p>
    <w:p>
      <w:pPr>
        <w:pStyle w:val="Heading1"/>
        <w:keepNext/>
      </w:pPr>
      <w:r>
        <w:t>37. Final Developer Instruction</w:t>
      </w:r>
    </w:p>
    <w:tbl>
      <w:tblPr>
        <w:tblW w:type="auto" w:w="0"/>
        <w:tblLook w:firstColumn="1" w:firstRow="1" w:lastColumn="0" w:lastRow="0" w:noHBand="0" w:noVBand="1" w:val="04A0"/>
      </w:tblPr>
      <w:tblGrid>
        <w:gridCol w:w="10224"/>
      </w:tblGrid>
      <w:tr>
        <w:tc>
          <w:tcPr>
            <w:tcW w:type="dxa" w:w="10224"/>
            <w:shd w:fill="DDEBF7"/>
            <w:tcMar>
              <w:top w:w="150" w:type="dxa"/>
              <w:start w:w="180" w:type="dxa"/>
              <w:bottom w:w="150" w:type="dxa"/>
              <w:end w:w="180" w:type="dxa"/>
            </w:tcMar>
          </w:tcPr>
          <w:p>
            <w:r>
              <w:rPr>
                <w:b/>
                <w:color w:val="17365D"/>
                <w:sz w:val="21"/>
              </w:rPr>
              <w:t>One platform, not a menu of disconnected applications</w:t>
              <w:br/>
            </w:r>
            <w:r>
              <w:rPr>
                <w:sz w:val="18"/>
              </w:rPr>
              <w:t>The developer should implement these domains as configurable services over shared enterprise masters. Travel, events, transport, facilities, inventory, contracts, budgets, visitors and other administration services must be able to create linked cases and share approval, vendor, finance, communication, evidence and audit capabilities. A new service should be introduced through configuration whenever possible, without creating a separate data silo.</w:t>
            </w:r>
          </w:p>
        </w:tc>
      </w:tr>
    </w:tbl>
    <w:p/>
    <w:p>
      <w:pPr>
        <w:pStyle w:val="ListBullet"/>
      </w:pPr>
      <w:r>
        <w:t>Use the service coverage matrix as the minimum scope checklist; mark each domain as native, integrated or intentionally excluded only through approved design authority.</w:t>
      </w:r>
    </w:p>
    <w:p>
      <w:pPr>
        <w:pStyle w:val="ListBullet"/>
      </w:pPr>
      <w:r>
        <w:t>For every service, document required data, policy decision, entitlement, approval, SLA, fulfilment, exception, evidence, cost, accounting, closure, KPI and retention.</w:t>
      </w:r>
    </w:p>
    <w:p>
      <w:pPr>
        <w:pStyle w:val="ListBullet"/>
      </w:pPr>
      <w:r>
        <w:t>Do not assume all organisations provide every benefit or facility. Configure applicability by entity, country, employee category, site type and operating model.</w:t>
      </w:r>
    </w:p>
    <w:p>
      <w:pPr>
        <w:pStyle w:val="ListBullet"/>
      </w:pPr>
      <w:r>
        <w:t>Legal, tax, labour, safety, banking, travel, privacy and records rules must remain configurable and validated by authorised organisational functions.</w:t>
      </w:r>
    </w:p>
    <w:p>
      <w:pPr>
        <w:pStyle w:val="ListBullet"/>
      </w:pPr>
      <w:r>
        <w:t>Preserve end-to-end traceability from original request through approvals, supplier action, service evidence, invoice, accounting entry, feedback and audit.</w:t>
      </w:r>
    </w:p>
    <w:sectPr w:rsidR="00FC693F" w:rsidRPr="0006063C" w:rsidSect="00034616">
      <w:headerReference w:type="default" r:id="rId9"/>
      <w:footerReference w:type="default" r:id="rId10"/>
      <w:pgSz w:w="12240" w:h="15840"/>
      <w:pgMar w:top="950"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5"/>
      </w:rPr>
      <w:t xml:space="preserve">Confidential | Enterprise Reference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6E82"/>
        <w:sz w:val="14"/>
      </w:rPr>
      <w:t>ENTERPRISE FACILITIES, INFRASTRUCTURE &amp; ADMINISTRATION MANAGEMENT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9759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Enterprise Facilities, Infrastructure and Administration Management Blueprint</dc:title>
  <dc:subject>Comprehensive enterprise blueprint including facilities, assets, AMC, budget, travel, events, transport, fleet, accommodation, visitors, logistics and administration services</dc:subject>
  <dc:creator>Kapil Mantri</dc:creator>
  <keywords>facilities, administration, infrastructure, travel, events, transport, fleet, visitor, records, budget, OPEX, assets, AMC</keywords>
  <dc:description>generated by python-docx</dc:description>
  <lastModifiedBy>Kapil Mantri</lastModifiedBy>
  <revision>1</revision>
  <dcterms:created xsi:type="dcterms:W3CDTF">2026-10-13T04:42:22.0022868Z</dcterms:created>
  <dcterms:modified xsi:type="dcterms:W3CDTF">2026-10-13T04:42:22.0022868Z</dcterms:modified>
  <category/>
</coreProperties>
</file>