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Consumer Growth (B2C)  |  Activation, Engagement &amp; Retention  |  0-to-1-to-Scale · Funnels, A/B Testing &amp; Product Analytics  |  AI-Powered Personalization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B2C Product Manager with 5+ years driving measurable consumer growth — activation, engagement, retention, and revenue — across a consumer app and a high-growth marketplace serving 150,000+ users. Owns the end-to-end journey from acquiring first-time users to loyal, repeat customers: deep consumer empathy, fluency in funnels, A/B testing, and product analytics, and an experimentation DNA (ship fast, learn, iterate). Uses AI for personalization and growth. Delivered 20% revenue growth, ₹70L in product-led renewals, and lifted the 5/5 rating share from 10% to 25%.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Consumer Growth Strategy (B2C) · Product Management · Activation (Aha Moment), Engagement &amp; Retention · Acquisition of First-Time Users → Repeat Customers · Zero-to-One (0-to-1) to Scale · Deep Consumer Empathy — User Motivations &amp; Behaviour · Funnels, A/B Testing &amp; Product Analytics · Experimentation DNA (Ship Fast, Learn, Iterate) · AI-Powered Personalization &amp; Growth · Data-Driven Mindset · Growth Hacking × Long-Term Platform Thinking · Cross-Functional Collaboration (Product, Design, Engineering, Marketing, AI) · Storytelling &amp; Stakeholder Alignment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Growth &amp; Analytics: </w:t>
      </w:r>
      <w:r>
        <w:rPr>
          <w:rFonts w:ascii="Calibri" w:hAnsi="Calibri"/>
          <w:b w:val="0"/>
          <w:i w:val="0"/>
          <w:sz w:val="19"/>
        </w:rPr>
        <w:t>Activation/engagement/retention, funnels, A/B testing/experiments, product analytics, SQL, GA4, Power BI, MS Excel (Advanced)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Product: </w:t>
      </w:r>
      <w:r>
        <w:rPr>
          <w:rFonts w:ascii="Calibri" w:hAnsi="Calibri"/>
          <w:b w:val="0"/>
          <w:i w:val="0"/>
          <w:sz w:val="19"/>
        </w:rPr>
        <w:t>AI-powered personalization, LLM APIs (Claude/OpenAI/Gemini), Claude Code, Prompt Engineering, RAG; PRDs, roadmap, RICE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Delivery &amp; Design: </w:t>
      </w:r>
      <w:r>
        <w:rPr>
          <w:rFonts w:ascii="Calibri" w:hAnsi="Calibri"/>
          <w:b w:val="0"/>
          <w:i w:val="0"/>
          <w:sz w:val="19"/>
        </w:rPr>
        <w:t>Agile/Scrum, JIRA, Confluence, Figma, wireframing, rapid iteration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