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B2C product and growth levers -- product roadmap, funnel optimization (traffic → conversion → retention), and revenue ownership -- at a high-growth EdTech startup. Consistent record of moving the metrics that matter for e-commerce-style growth: 20% revenue growth, 25% ARPU expansion (₹35K → ₹45K), ₹70L in product-led renewals, and 2,000+ organic leads/month at 7% conversion -- driven by GTM execution, A/B testing, and data-backed decisions (SQL, Google Analytics/GA4).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Revenue, Retention &amp; Growth Ownership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-- customized 1:1 sessions, group activities, and performance tasks --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to lift retention and lifetime value, generating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Drove customer acquisition and retention through organic loops surfacing student progress (Sparkline, Word Wisdom, practice classes, workshops) across social channels,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P&amp;L Ownership &amp; Cross-Functional Analytics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counselor-wise P&amp;L tracker as a product-led feature -- computing weekly profitability per sales counselor as Net Revenue − Fixed Cost − Refund Cost − Marketing Cost − Sales Cost -- giving each counselor visibility into the revenue figure needed to be profitable.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multiple insight-driven Power BI dashboards, sourced from Metabase SQL queries, for Marketing, Sales, and Operations teams, giving cross-functional visibility into business performance.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Funnel, GTM &amp; Platform (0→1)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to cut drop-off across every stage: single-step OTP sign-in, a preference-capture ranking model surfacing best-fit courses, 6 API-integrated payment gateways with pre-filled links, and auto-cleared parent-approval on payment.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GTM launch of a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Roadmap &amp; GTM Strategy · Funnel &amp; Conversion Optimization · P&amp;L / Margin &amp; Unit Economics Ownership · Power BI &amp; SQL-Driven Analytics · Customer Analytics &amp; Retention · A/B Testing &amp; Experimentation · Cross-Functional Leadership (Tech, Design, Marketing, Sales, Ops) · Growth &amp; Acquisition · Stakeholder Management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