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i w:val="0"/>
          <w:color w:val="1F3864"/>
          <w:sz w:val="34"/>
        </w:rPr>
        <w:t>KSHITIZ YADAV</w:t>
      </w:r>
    </w:p>
    <w:p>
      <w:pPr>
        <w:spacing w:after="0"/>
        <w:jc w:val="center"/>
      </w:pPr>
      <w:r>
        <w:rPr>
          <w:rFonts w:ascii="Calibri" w:hAnsi="Calibri"/>
          <w:b w:val="0"/>
          <w:i w:val="0"/>
          <w:color w:val="444444"/>
          <w:sz w:val="19"/>
        </w:rPr>
        <w:t>Product Manager  |  Platform &amp; Reusable Capabilities  |  API Integration &amp; Shared Services  |  Payments, Trust &amp; Fraud  |  Data-Driven</w:t>
      </w:r>
    </w:p>
    <w:p>
      <w:pPr>
        <w:spacing w:after="70"/>
        <w:jc w:val="center"/>
      </w:pPr>
      <w:r>
        <w:rPr>
          <w:rFonts w:ascii="Calibri" w:hAnsi="Calibri"/>
          <w:b w:val="0"/>
          <w:i w:val="0"/>
          <w:color w:val="444444"/>
          <w:sz w:val="18"/>
        </w:rPr>
        <w:t>Gurugram, India  •  +91 8756972501  •  kshitizyadav788@gmail.com  •  linkedin.com/in/kshitizyadav</w:t>
      </w:r>
    </w:p>
    <w:p>
      <w:pPr>
        <w:spacing w:before="150" w:after="60"/>
        <w:pBdr>
          <w:bottom w:val="single" w:sz="6" w:space="1" w:color="2E5AAC"/>
        </w:pBdr>
      </w:pPr>
      <w:r>
        <w:rPr>
          <w:rFonts w:ascii="Calibri" w:hAnsi="Calibri"/>
          <w:b/>
          <w:color w:val="1F3864"/>
          <w:sz w:val="22"/>
        </w:rPr>
        <w:t>PROFESSIONAL SUMMARY</w:t>
      </w:r>
    </w:p>
    <w:p>
      <w:pPr>
        <w:spacing w:after="70"/>
      </w:pPr>
      <w:r>
        <w:rPr>
          <w:rFonts w:ascii="Calibri" w:hAnsi="Calibri"/>
          <w:b w:val="0"/>
          <w:i w:val="0"/>
          <w:sz w:val="19"/>
        </w:rPr>
        <w:t>Product Manager with 5+ years building and integrating reusable platform capabilities and API-driven services across a consumer app, a two-sided LMS, and a sales CRM at a high-growth startup. Built shared components used across products — a 6-gateway payment service, a customer verification / fraud capability, an omnichannel support service, and an in-house video platform — partnering closely with Engineering, Risk / Fraud, and Operations. Strong systems thinking and a data-driven approach (SQL, GA4, Power BI) used to identify opportunities, prioritize initiatives (RICE), and measure adoption and business outcomes at scale.</w:t>
      </w:r>
    </w:p>
    <w:p>
      <w:pPr>
        <w:spacing w:before="150" w:after="60"/>
        <w:pBdr>
          <w:bottom w:val="single" w:sz="6" w:space="1" w:color="2E5AAC"/>
        </w:pBdr>
      </w:pPr>
      <w:r>
        <w:rPr>
          <w:rFonts w:ascii="Calibri" w:hAnsi="Calibri"/>
          <w:b/>
          <w:color w:val="1F3864"/>
          <w:sz w:val="22"/>
        </w:rPr>
        <w:t>PROFESSIONAL EXPERIENCE</w:t>
      </w:r>
    </w:p>
    <w:p>
      <w:pPr>
        <w:tabs>
          <w:tab w:pos="10546" w:val="right"/>
        </w:tabs>
        <w:spacing w:after="0"/>
      </w:pPr>
      <w:r>
        <w:rPr>
          <w:rFonts w:ascii="Calibri" w:hAnsi="Calibri"/>
          <w:b/>
          <w:i w:val="0"/>
          <w:sz w:val="21"/>
        </w:rPr>
        <w:t>PlanetSpark — Product Manager</w:t>
      </w:r>
      <w:r>
        <w:rPr>
          <w:rFonts w:ascii="Calibri" w:hAnsi="Calibri"/>
          <w:b w:val="0"/>
          <w:i w:val="0"/>
          <w:color w:val="444444"/>
          <w:sz w:val="19"/>
        </w:rPr>
        <w:tab/>
        <w:t>Gurugram · Mar 2021 – Present</w:t>
      </w:r>
    </w:p>
    <w:p>
      <w:pPr>
        <w:spacing w:after="70"/>
      </w:pPr>
      <w:r>
        <w:rPr>
          <w:rFonts w:ascii="Calibri" w:hAnsi="Calibri"/>
          <w:b w:val="0"/>
          <w:i/>
          <w:color w:val="333333"/>
          <w:sz w:val="19"/>
        </w:rPr>
        <w:t>Own the full product suite of a B2C EdTech marketplace -- one of India's largest public speaking &amp; creative writing platforms, connecting students and teachers via a shared LMS: consumer app, student &amp; teacher LMS, sales CRM, product-led growth &amp; renewal engine, and an in-house AI layer.</w:t>
      </w:r>
    </w:p>
    <w:p>
      <w:pPr>
        <w:spacing w:before="80" w:after="0"/>
      </w:pPr>
      <w:r>
        <w:rPr>
          <w:rFonts w:ascii="Calibri" w:hAnsi="Calibri"/>
          <w:b/>
          <w:i/>
          <w:color w:val="2E5AAC"/>
          <w:sz w:val="19"/>
        </w:rPr>
        <w:t>Platform Capabilities &amp; API Integration (shared across products)</w:t>
      </w:r>
    </w:p>
    <w:p>
      <w:pPr>
        <w:pStyle w:val="ListBullet"/>
        <w:spacing w:after="70" w:before="0" w:line="293" w:lineRule="auto"/>
      </w:pPr>
      <w:r>
        <w:rPr>
          <w:rFonts w:ascii="Calibri" w:hAnsi="Calibri"/>
          <w:b w:val="0"/>
          <w:i w:val="0"/>
          <w:sz w:val="19"/>
        </w:rPr>
        <w:t>Built and integrated reusable capabilities used across the app, LMS, and CRM: a payment service integrating 6 gateways (Razorpay, PayU, PayGlocal, PayPal, Bajaj) via their APIs for payment creation and status verification, and an omnichannel support service consolidating LMS, email, WhatsApp (Gupshup, Venera Connect), telephony (Exotel, Tata Tele), and in-app chatbot channels into one system.</w:t>
      </w:r>
    </w:p>
    <w:p>
      <w:pPr>
        <w:pStyle w:val="ListBullet"/>
        <w:spacing w:after="70" w:before="0" w:line="293" w:lineRule="auto"/>
      </w:pPr>
      <w:r>
        <w:rPr>
          <w:rFonts w:ascii="Calibri" w:hAnsi="Calibri"/>
          <w:b w:val="0"/>
          <w:i w:val="0"/>
          <w:sz w:val="19"/>
        </w:rPr>
        <w:t>Built an in-house video-call platform (replacing a third-party vendor) reused by the Sales org, and a customer verification / fraud capability that cut fake sales from 10% to 1% — shared components delivered with Engineering, Risk / Fraud, and Operations.</w:t>
      </w:r>
    </w:p>
    <w:p>
      <w:pPr>
        <w:spacing w:before="80" w:after="0"/>
      </w:pPr>
      <w:r>
        <w:rPr>
          <w:rFonts w:ascii="Calibri" w:hAnsi="Calibri"/>
          <w:b/>
          <w:i/>
          <w:color w:val="2E5AAC"/>
          <w:sz w:val="19"/>
        </w:rPr>
        <w:t>Systems, Backend &amp; Automation (at scale)</w:t>
      </w:r>
    </w:p>
    <w:p>
      <w:pPr>
        <w:pStyle w:val="ListBullet"/>
        <w:spacing w:after="70" w:before="0" w:line="293" w:lineRule="auto"/>
      </w:pPr>
      <w:r>
        <w:rPr>
          <w:rFonts w:ascii="Calibri" w:hAnsi="Calibri"/>
          <w:b w:val="0"/>
          <w:i w:val="0"/>
          <w:sz w:val="19"/>
        </w:rPr>
        <w:t>Re-engineered the sign-up → demo → enrolment funnel into modular backend flows: single-step OTP sign-in, a preference-capture ranking model, pre-filled payment links, and auto-cleared parent-approval (consent) on payment — reducing drop-off across stages.</w:t>
      </w:r>
    </w:p>
    <w:p>
      <w:pPr>
        <w:pStyle w:val="ListBullet"/>
        <w:spacing w:after="70" w:before="0" w:line="293" w:lineRule="auto"/>
      </w:pPr>
      <w:r>
        <w:rPr>
          <w:rFonts w:ascii="Calibri" w:hAnsi="Calibri"/>
          <w:b w:val="0"/>
          <w:i w:val="0"/>
          <w:sz w:val="19"/>
        </w:rPr>
        <w:t>Automated backend revenue-punching and enrolment verification end-to-end (manual punching 100%→5%, then 60%→2%; 100% verification coverage), working closely with Engineering to build scalable, reusable automation — saving ₹1.6L/month.</w:t>
      </w:r>
    </w:p>
    <w:p>
      <w:pPr>
        <w:spacing w:before="80" w:after="0"/>
      </w:pPr>
      <w:r>
        <w:rPr>
          <w:rFonts w:ascii="Calibri" w:hAnsi="Calibri"/>
          <w:b/>
          <w:i/>
          <w:color w:val="2E5AAC"/>
          <w:sz w:val="19"/>
        </w:rPr>
        <w:t>Data-Driven Prioritization &amp; Impact</w:t>
      </w:r>
    </w:p>
    <w:p>
      <w:pPr>
        <w:pStyle w:val="ListBullet"/>
        <w:spacing w:after="70" w:before="0" w:line="293" w:lineRule="auto"/>
      </w:pPr>
      <w:r>
        <w:rPr>
          <w:rFonts w:ascii="Calibri" w:hAnsi="Calibri"/>
          <w:b w:val="0"/>
          <w:i w:val="0"/>
          <w:sz w:val="19"/>
        </w:rPr>
        <w:t>Built insight-driven Power BI and SQL / GA4 dashboards for Marketing, Sales, and Operations, using data and customer insights to identify opportunities, prioritize initiatives, and measure adoption and business impact.</w:t>
      </w:r>
    </w:p>
    <w:p>
      <w:pPr>
        <w:pStyle w:val="ListBullet"/>
        <w:spacing w:after="70" w:before="0" w:line="293" w:lineRule="auto"/>
      </w:pPr>
      <w:r>
        <w:rPr>
          <w:rFonts w:ascii="Calibri" w:hAnsi="Calibri"/>
          <w:b w:val="0"/>
          <w:i w:val="0"/>
          <w:sz w:val="19"/>
        </w:rPr>
        <w:t>Shipped monetization and renewal capabilities (LPP module, in-product renewal engine) driving 20% revenue growth, 25% ARPU expansion (₹35K → ₹45K), and ₹70L in renewals in a single month — measured through product adoption and business outcomes.</w:t>
      </w:r>
    </w:p>
    <w:p>
      <w:pPr>
        <w:spacing w:before="150" w:after="60"/>
        <w:pBdr>
          <w:bottom w:val="single" w:sz="6" w:space="1" w:color="2E5AAC"/>
        </w:pBdr>
      </w:pPr>
      <w:r>
        <w:rPr>
          <w:rFonts w:ascii="Calibri" w:hAnsi="Calibri"/>
          <w:b/>
          <w:color w:val="1F3864"/>
          <w:sz w:val="22"/>
        </w:rPr>
        <w:t>CORE COMPETENCIES</w:t>
      </w:r>
    </w:p>
    <w:p>
      <w:pPr>
        <w:spacing w:after="70"/>
      </w:pPr>
      <w:r>
        <w:rPr>
          <w:rFonts w:ascii="Calibri" w:hAnsi="Calibri"/>
          <w:b w:val="0"/>
          <w:i w:val="0"/>
          <w:sz w:val="19"/>
        </w:rPr>
        <w:t>Platform &amp; Reusable Capabilities · API Integration &amp; Shared Services · Systems Thinking at Scale · Backend Systems &amp; Automation · Product Roadmap, Prioritization &amp; Stakeholder Management (RICE) · Trust, Fraud &amp; Verification · Consent &amp; Payments Flows · Data-Driven Impact Measurement (SQL, GA4, Power BI) · Cross-Functional Delivery (Engineering, Risk, Operations) · Platform Adoption &amp; Business Outcomes · Agile/Scrum</w:t>
      </w:r>
    </w:p>
    <w:p>
      <w:pPr>
        <w:spacing w:before="150" w:after="60"/>
        <w:pBdr>
          <w:bottom w:val="single" w:sz="6" w:space="1" w:color="2E5AAC"/>
        </w:pBdr>
      </w:pPr>
      <w:r>
        <w:rPr>
          <w:rFonts w:ascii="Calibri" w:hAnsi="Calibri"/>
          <w:b/>
          <w:color w:val="1F3864"/>
          <w:sz w:val="22"/>
        </w:rPr>
        <w:t>TECHNICAL SKILLS &amp; TOOLS</w:t>
      </w:r>
    </w:p>
    <w:p>
      <w:pPr>
        <w:pStyle w:val="ListBullet"/>
        <w:spacing w:after="70" w:before="0" w:line="293" w:lineRule="auto"/>
      </w:pPr>
      <w:r>
        <w:rPr>
          <w:rFonts w:ascii="Calibri" w:hAnsi="Calibri"/>
          <w:b/>
          <w:i w:val="0"/>
          <w:sz w:val="19"/>
        </w:rPr>
        <w:t xml:space="preserve">Data &amp; Analytics: </w:t>
      </w:r>
      <w:r>
        <w:rPr>
          <w:rFonts w:ascii="Calibri" w:hAnsi="Calibri"/>
          <w:b w:val="0"/>
          <w:i w:val="0"/>
          <w:sz w:val="19"/>
        </w:rPr>
        <w:t>SQL, GA4, MS Excel (Advanced), Python (basic)</w:t>
      </w:r>
    </w:p>
    <w:p>
      <w:pPr>
        <w:pStyle w:val="ListBullet"/>
        <w:spacing w:after="70" w:before="0" w:line="293" w:lineRule="auto"/>
      </w:pPr>
      <w:r>
        <w:rPr>
          <w:rFonts w:ascii="Calibri" w:hAnsi="Calibri"/>
          <w:b/>
          <w:i w:val="0"/>
          <w:sz w:val="19"/>
        </w:rPr>
        <w:t xml:space="preserve">Platform &amp; Integration: </w:t>
      </w:r>
      <w:r>
        <w:rPr>
          <w:rFonts w:ascii="Calibri" w:hAnsi="Calibri"/>
          <w:b w:val="0"/>
          <w:i w:val="0"/>
          <w:sz w:val="19"/>
        </w:rPr>
        <w:t>REST APIs, third-party API integration, backend automation, webhooks/status callbacks</w:t>
      </w:r>
    </w:p>
    <w:p>
      <w:pPr>
        <w:pStyle w:val="ListBullet"/>
        <w:spacing w:after="70" w:before="0" w:line="293" w:lineRule="auto"/>
      </w:pPr>
      <w:r>
        <w:rPr>
          <w:rFonts w:ascii="Calibri" w:hAnsi="Calibri"/>
          <w:b/>
          <w:i w:val="0"/>
          <w:sz w:val="19"/>
        </w:rPr>
        <w:t xml:space="preserve">Product &amp; Delivery: </w:t>
      </w:r>
      <w:r>
        <w:rPr>
          <w:rFonts w:ascii="Calibri" w:hAnsi="Calibri"/>
          <w:b w:val="0"/>
          <w:i w:val="0"/>
          <w:sz w:val="19"/>
        </w:rPr>
        <w:t>JIRA, Confluence, Agile/Scrum, RICE prioritization</w:t>
      </w:r>
    </w:p>
    <w:p>
      <w:pPr>
        <w:pStyle w:val="ListBullet"/>
        <w:spacing w:after="70" w:before="0" w:line="293" w:lineRule="auto"/>
      </w:pPr>
      <w:r>
        <w:rPr>
          <w:rFonts w:ascii="Calibri" w:hAnsi="Calibri"/>
          <w:b/>
          <w:i w:val="0"/>
          <w:sz w:val="19"/>
        </w:rPr>
        <w:t xml:space="preserve">AI &amp; Tools: </w:t>
      </w:r>
      <w:r>
        <w:rPr>
          <w:rFonts w:ascii="Calibri" w:hAnsi="Calibri"/>
          <w:b w:val="0"/>
          <w:i w:val="0"/>
          <w:sz w:val="19"/>
        </w:rPr>
        <w:t>OpenAI / Gemini / Claude APIs, Prompt Engineering, Figma</w:t>
      </w:r>
    </w:p>
    <w:p>
      <w:pPr>
        <w:spacing w:before="150" w:after="60"/>
        <w:pBdr>
          <w:bottom w:val="single" w:sz="6" w:space="1" w:color="2E5AAC"/>
        </w:pBdr>
      </w:pPr>
      <w:r>
        <w:rPr>
          <w:rFonts w:ascii="Calibri" w:hAnsi="Calibri"/>
          <w:b/>
          <w:color w:val="1F3864"/>
          <w:sz w:val="22"/>
        </w:rPr>
        <w:t>EDUCATION</w:t>
      </w:r>
    </w:p>
    <w:p>
      <w:pPr>
        <w:tabs>
          <w:tab w:pos="10546" w:val="right"/>
        </w:tabs>
        <w:spacing w:after="70"/>
      </w:pPr>
      <w:r>
        <w:rPr>
          <w:rFonts w:ascii="Calibri" w:hAnsi="Calibri"/>
          <w:b/>
          <w:i w:val="0"/>
          <w:sz w:val="19"/>
        </w:rPr>
        <w:t>BBA — Chandigarh University, Chandigarh</w:t>
      </w:r>
      <w:r>
        <w:rPr>
          <w:rFonts w:ascii="Calibri" w:hAnsi="Calibri"/>
          <w:b w:val="0"/>
          <w:i w:val="0"/>
          <w:color w:val="444444"/>
          <w:sz w:val="19"/>
        </w:rPr>
        <w:tab/>
        <w:t>2019 – 2021</w:t>
      </w:r>
    </w:p>
    <w:p>
      <w:pPr>
        <w:tabs>
          <w:tab w:pos="10546" w:val="right"/>
        </w:tabs>
        <w:spacing w:after="70"/>
      </w:pPr>
      <w:r>
        <w:rPr>
          <w:rFonts w:ascii="Calibri" w:hAnsi="Calibri"/>
          <w:b/>
          <w:i w:val="0"/>
          <w:sz w:val="19"/>
        </w:rPr>
        <w:t>Class XII (ISC), St. Thomas High School, Kanpur</w:t>
      </w:r>
      <w:r>
        <w:rPr>
          <w:rFonts w:ascii="Calibri" w:hAnsi="Calibri"/>
          <w:b w:val="0"/>
          <w:i w:val="0"/>
          <w:color w:val="444444"/>
          <w:sz w:val="19"/>
        </w:rPr>
        <w:tab/>
        <w:t>2018</w:t>
      </w:r>
    </w:p>
    <w:p>
      <w:pPr>
        <w:spacing w:before="150" w:after="60"/>
        <w:pBdr>
          <w:bottom w:val="single" w:sz="6" w:space="1" w:color="2E5AAC"/>
        </w:pBdr>
      </w:pPr>
      <w:r>
        <w:rPr>
          <w:rFonts w:ascii="Calibri" w:hAnsi="Calibri"/>
          <w:b/>
          <w:color w:val="1F3864"/>
          <w:sz w:val="22"/>
        </w:rPr>
        <w:t>CERTIFICATIONS</w:t>
      </w:r>
    </w:p>
    <w:p>
      <w:pPr>
        <w:pStyle w:val="ListBullet"/>
        <w:spacing w:after="70" w:before="0" w:line="293" w:lineRule="auto"/>
      </w:pPr>
      <w:r>
        <w:rPr>
          <w:rFonts w:ascii="Calibri" w:hAnsi="Calibri"/>
          <w:b w:val="0"/>
          <w:i w:val="0"/>
          <w:sz w:val="19"/>
        </w:rPr>
        <w:t>Product Management Certification — Udemy (2024)    •    JIRA Certification — Udemy (2024)</w:t>
      </w:r>
    </w:p>
    <w:sectPr w:rsidR="00FC693F" w:rsidRPr="0006063C" w:rsidSect="00034616">
      <w:pgSz w:w="11906" w:h="16838"/>
      <w:pgMar w:top="510" w:right="680" w:bottom="51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before="0" w:line="293" w:lineRule="auto"/>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before="0" w:line="293" w:lineRule="auto"/>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