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B2C product lifecycle across a consumer app, a two-sided student/teacher LMS, a sales CRM, and a product-led growth &amp; renewal engine at a high-growth EdTech startup. Consistent record of moving core metrics — 20% revenue growth, 25% ARPU expansion, ₹70L in product-led renewals, and 2,000+ organic leads/month at 7% conversion. Pairs monetization and unit-economics thinking with hands-on data analysis (SQL, GA4), A/B testing, and shipping production GenAI features; works across engineering, design, marketing, sales, and operations.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 &amp; Monetization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lowered sales cost and generated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Funnel &amp; Platform (0→1)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funnel: single-step OTP sign-in (replacing a two-step create-then-login flow), a preference-capture ranking model that surfaces best-fit courses during the counselor VC, 6 API-integrated payment gateways with pre-filled links, and auto-cleared parent-approval on payment — reducing drop-off across the sign-up, payment, and enrolment stages.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the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— using Gemini, Claude, ChatGPT, and Codex to accelerate iteration into clickable flows that aligned engineering and stakeholders before 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incentive flows and enrolment verification (100% coverage), saving ₹1.6L/month and eliminating fake-revenue reporting.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Monetization &amp; Unit Economics · Retention &amp; Lifecycle · Funnel &amp; Conversion Optimization · Product Design &amp; Prototyping · A/B Testing &amp; Experimentation · GTM &amp; North-Star Metrics · B2C &amp; Two-Sided Platforms · GenAI Product Development · Stakeholder Management · User Research · Agile/Scrum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