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Senior Product Manager  |  Product Strategy, Vision &amp; Roadmap  |  Growth, Monetization &amp; Retention at Scale  |  Data-Driven Outcomes</w:t>
      </w:r>
    </w:p>
    <w:p>
      <w:pPr>
        <w:spacing w:after="20"/>
        <w:jc w:val="center"/>
      </w:pPr>
      <w:r>
        <w:rPr>
          <w:rFonts w:ascii="Calibri" w:hAnsi="Calibri"/>
          <w:b w:val="0"/>
          <w:i w:val="0"/>
          <w:color w:val="444444"/>
          <w:sz w:val="18"/>
        </w:rPr>
        <w:t xml:space="preserve">Gurugram, India  •  +91 8756972501  •  </w:t>
      </w:r>
      <w:hyperlink r:id="rId9">
        <w:r>
          <w:rPr>
            <w:rFonts w:ascii="Calibri" w:hAnsi="Calibri"/>
            <w:color w:val="444444"/>
            <w:sz w:val="18"/>
          </w:rPr>
          <w:t xml:space="preserve">kshitizyadav788@gmail.com</w:t>
        </w:r>
      </w:hyperlink>
      <w:r>
        <w:rPr>
          <w:rFonts w:ascii="Calibri" w:hAnsi="Calibri"/>
          <w:b w:val="0"/>
          <w:i w:val="0"/>
          <w:color w:val="444444"/>
          <w:sz w:val="18"/>
        </w:rPr>
        <w:t xml:space="preserve">  •  </w:t>
      </w:r>
      <w:hyperlink r:id="rId10">
        <w:r>
          <w:rPr>
            <w:rFonts w:ascii="Calibri" w:hAnsi="Calibri"/>
            <w:color w:val="444444"/>
            <w:sz w:val="18"/>
          </w:rPr>
          <w:t xml:space="preserve">linkedin.com/in/kshitizyadav</w:t>
        </w:r>
      </w:hyperlink>
    </w:p>
    <w:p>
      <w:pPr>
        <w:spacing w:after="60"/>
        <w:jc w:val="center"/>
      </w:pPr>
      <w:r>
        <w:rPr>
          <w:rFonts w:ascii="Calibri" w:hAnsi="Calibri"/>
          <w:b/>
          <w:i w:val="0"/>
          <w:color w:val="2E5AAC"/>
          <w:sz w:val="18"/>
        </w:rPr>
        <w:t>20% Revenue Growth   •   25% ARPU Expansion (₹35K → ₹45K)   •   ₹70L Renewals in a Single Month   •   80% Lower Ops Workload</w:t>
      </w:r>
    </w:p>
    <w:p>
      <w:pPr>
        <w:spacing w:before="140" w:after="60"/>
        <w:pBdr>
          <w:bottom w:val="single" w:sz="6" w:space="1" w:color="2E5AAC"/>
        </w:pBdr>
      </w:pPr>
      <w:r>
        <w:rPr>
          <w:rFonts w:ascii="Calibri" w:hAnsi="Calibri"/>
          <w:b/>
          <w:color w:val="1F3864"/>
          <w:sz w:val="22"/>
        </w:rPr>
        <w:t>PROFESSIONAL SUMMARY</w:t>
      </w:r>
    </w:p>
    <w:p>
      <w:pPr>
        <w:spacing w:after="60"/>
      </w:pPr>
      <w:r>
        <w:rPr>
          <w:rFonts w:ascii="Calibri" w:hAnsi="Calibri"/>
          <w:b w:val="0"/>
          <w:i w:val="0"/>
          <w:sz w:val="19"/>
        </w:rPr>
        <w:t>Product Manager with 5+ years owning strategy and execution for core product areas at a consumer marketplace serving 150,000+ users and 30,000+ daily actives. Set product vision and the multi-quarter roadmap, framed the biggest opportunities from research and data, and drove measurable outcomes end to end while aligning stakeholders across product, design, engineering, and business leadership. Progressed from Senior Product Analyst to Product Manager, shipping at scale with strong data fluency in SQL and analytics.</w:t>
      </w:r>
    </w:p>
    <w:p>
      <w:pPr>
        <w:spacing w:before="140" w:after="60"/>
        <w:pBdr>
          <w:bottom w:val="single" w:sz="6" w:space="1" w:color="2E5AAC"/>
        </w:pBdr>
      </w:pPr>
      <w:r>
        <w:rPr>
          <w:rFonts w:ascii="Calibri" w:hAnsi="Calibri"/>
          <w:b/>
          <w:color w:val="1F3864"/>
          <w:sz w:val="22"/>
        </w:rPr>
        <w:t>CORE COMPETENCIES</w:t>
      </w:r>
    </w:p>
    <w:p>
      <w:pPr>
        <w:spacing w:after="60"/>
      </w:pPr>
      <w:r>
        <w:rPr>
          <w:rFonts w:ascii="Calibri" w:hAnsi="Calibri"/>
          <w:b w:val="0"/>
          <w:i w:val="0"/>
          <w:sz w:val="19"/>
        </w:rPr>
        <w:t>Product Strategy &amp; Vision · Multi-Quarter Roadmapping · Product Discovery &amp; Delivery · Measurable Outcomes &amp; Success Metrics · Strategic Thinking · Stakeholder Management · Growth, Monetization &amp; Retention · Market Analysis &amp; Competitive Research · Data Fluency (SQL, Power BI, GA4) · Prioritization &amp; Trade-offs · Platform &amp; Marketplace Products · Shipping at Scale · Cross-Functional Leadership · Product Management</w:t>
      </w:r>
    </w:p>
    <w:p>
      <w:pPr>
        <w:spacing w:before="140" w:after="60"/>
        <w:pBdr>
          <w:bottom w:val="single" w:sz="6" w:space="1" w:color="2E5AAC"/>
        </w:pBdr>
      </w:pPr>
      <w:r>
        <w:rPr>
          <w:rFonts w:ascii="Calibri" w:hAnsi="Calibri"/>
          <w:b/>
          <w:color w:val="1F3864"/>
          <w:sz w:val="22"/>
        </w:rPr>
        <w:t>PROFESSIONAL EXPERIENCE</w:t>
      </w:r>
    </w:p>
    <w:p>
      <w:pPr>
        <w:spacing w:after="0"/>
      </w:pPr>
      <w:r>
        <w:rPr>
          <w:rFonts w:ascii="Calibri" w:hAnsi="Calibri"/>
          <w:b/>
          <w:i w:val="0"/>
          <w:sz w:val="21"/>
        </w:rPr>
        <w:t>PlanetSpark — Gurugram</w:t>
      </w:r>
    </w:p>
    <w:p>
      <w:pPr>
        <w:spacing w:after="60"/>
      </w:pPr>
      <w:r>
        <w:rPr>
          <w:rFonts w:ascii="Calibri" w:hAnsi="Calibri"/>
          <w:b w:val="0"/>
          <w:i/>
          <w:color w:val="333333"/>
          <w:sz w:val="19"/>
        </w:rPr>
        <w:t>A B2C subscription marketplace (EdTech) connecting 150,000+ enrolled users with teachers via a shared LMS — spanning consumer app, two-sided platform, payments, CRM, renewals, and lifecycle products, with 30,000+ daily active users. Progressed across three roles while owning an expanding product surface.</w:t>
      </w:r>
    </w:p>
    <w:p>
      <w:pPr>
        <w:tabs>
          <w:tab w:pos="10546" w:val="right"/>
        </w:tabs>
        <w:spacing w:before="80" w:after="0"/>
      </w:pPr>
      <w:r>
        <w:rPr>
          <w:rFonts w:ascii="Calibri" w:hAnsi="Calibri"/>
          <w:b/>
          <w:i/>
          <w:color w:val="2E5AAC"/>
          <w:sz w:val="19"/>
        </w:rPr>
        <w:t>Product Manager</w:t>
      </w:r>
      <w:r>
        <w:rPr>
          <w:rFonts w:ascii="Calibri" w:hAnsi="Calibri"/>
          <w:b w:val="0"/>
          <w:i/>
          <w:color w:val="444444"/>
          <w:sz w:val="19"/>
        </w:rPr>
        <w:tab/>
        <w:t>Sep 2023 – Present</w:t>
      </w:r>
    </w:p>
    <w:p>
      <w:pPr>
        <w:pStyle w:val="ListBullet"/>
        <w:spacing w:after="60" w:before="0" w:line="278" w:lineRule="auto"/>
      </w:pPr>
      <w:r>
        <w:rPr>
          <w:rFonts w:ascii="Calibri" w:hAnsi="Calibri"/>
          <w:b w:val="0"/>
          <w:i w:val="0"/>
          <w:sz w:val="19"/>
        </w:rPr>
        <w:t>Own the full product suite — consumer app, student &amp; teacher LMS, advisor CRM, renewal engine, and in-house AI layer — for a platform with 150,000+ enrolled users and 30,000+ daily active users, leading a cross-functional squad of 8 engineers and 2 QA from discovery to launch.</w:t>
      </w:r>
    </w:p>
    <w:p>
      <w:pPr>
        <w:pStyle w:val="ListBullet"/>
        <w:spacing w:after="60" w:before="0" w:line="278" w:lineRule="auto"/>
      </w:pPr>
      <w:r>
        <w:rPr>
          <w:rFonts w:ascii="Calibri" w:hAnsi="Calibri"/>
          <w:b w:val="0"/>
          <w:i w:val="0"/>
          <w:sz w:val="19"/>
        </w:rPr>
        <w:t>Designed an in-product renewal engine (nudges, early-bird access, LMS free-trial classes, teacher-initiated renewals) that reduced assisted-renewal cost and generated ₹70L in product-led renewals in a single month (Jan 2025).</w:t>
      </w:r>
    </w:p>
    <w:p>
      <w:pPr>
        <w:pStyle w:val="ListBullet"/>
        <w:spacing w:after="60" w:before="0" w:line="278" w:lineRule="auto"/>
      </w:pPr>
      <w:r>
        <w:rPr>
          <w:rFonts w:ascii="Calibri" w:hAnsi="Calibri"/>
          <w:b w:val="0"/>
          <w:i w:val="0"/>
          <w:sz w:val="19"/>
        </w:rPr>
        <w:t>Re-architected the sign-up → demo → enrolment funnel — single-step OTP, a preference-capture ranking model, and 6 API-integrated payment gateways with pre-filled links and auto-cleared approvals — enabling self-serve, plan-based purchase with no manual intervention.</w:t>
      </w:r>
    </w:p>
    <w:p>
      <w:pPr>
        <w:pStyle w:val="ListBullet"/>
        <w:spacing w:after="60" w:before="0" w:line="278" w:lineRule="auto"/>
      </w:pPr>
      <w:r>
        <w:rPr>
          <w:rFonts w:ascii="Calibri" w:hAnsi="Calibri"/>
          <w:b w:val="0"/>
          <w:i w:val="0"/>
          <w:sz w:val="19"/>
        </w:rPr>
        <w:t>Built an advisor-wise P&amp;L tracker (weekly Net Revenue − Fixed, Refund, Marketing &amp; Sales cost) whose visibility drove profitability interventions — profitable advisors rose from 50 to 100 in one month and to 125 over the next two.</w:t>
      </w:r>
    </w:p>
    <w:p>
      <w:pPr>
        <w:pStyle w:val="ListBullet"/>
        <w:spacing w:after="60" w:before="0" w:line="278" w:lineRule="auto"/>
      </w:pPr>
      <w:r>
        <w:rPr>
          <w:rFonts w:ascii="Calibri" w:hAnsi="Calibri"/>
          <w:b w:val="0"/>
          <w:i w:val="0"/>
          <w:sz w:val="19"/>
        </w:rPr>
        <w:t>Increased the share of enrolled users rating the product 5 out of 5 from 10% to 25% via onboarding and retention work: seamless onboarding, teacher PTMs and feedback, a one-page student-detail UI, a loyalty program, and the PSpark in-app wallet.</w:t>
      </w:r>
    </w:p>
    <w:p>
      <w:pPr>
        <w:pStyle w:val="ListBullet"/>
        <w:spacing w:after="60" w:before="0" w:line="278" w:lineRule="auto"/>
      </w:pPr>
      <w:r>
        <w:rPr>
          <w:rFonts w:ascii="Calibri" w:hAnsi="Calibri"/>
          <w:b w:val="0"/>
          <w:i w:val="0"/>
          <w:sz w:val="19"/>
        </w:rPr>
        <w:t>Shipped a production GenAI learning layer (age-appropriate speech/text responses) and a RAG-based support chatbot — cutting first-response time from 4 minutes to under 10 seconds and monthly escalations from ~300 to under 50 within three months.</w:t>
      </w:r>
    </w:p>
    <w:p>
      <w:pPr>
        <w:tabs>
          <w:tab w:pos="10546" w:val="right"/>
        </w:tabs>
        <w:spacing w:before="80" w:after="0"/>
      </w:pPr>
      <w:r>
        <w:rPr>
          <w:rFonts w:ascii="Calibri" w:hAnsi="Calibri"/>
          <w:b/>
          <w:i/>
          <w:color w:val="2E5AAC"/>
          <w:sz w:val="19"/>
        </w:rPr>
        <w:t>Assistant Product Manager</w:t>
      </w:r>
      <w:r>
        <w:rPr>
          <w:rFonts w:ascii="Calibri" w:hAnsi="Calibri"/>
          <w:b w:val="0"/>
          <w:i/>
          <w:color w:val="444444"/>
          <w:sz w:val="19"/>
        </w:rPr>
        <w:tab/>
        <w:t>Sep 2022 – Aug 2023</w:t>
      </w:r>
    </w:p>
    <w:p>
      <w:pPr>
        <w:pStyle w:val="ListBullet"/>
        <w:spacing w:after="60" w:before="0" w:line="278" w:lineRule="auto"/>
      </w:pPr>
      <w:r>
        <w:rPr>
          <w:rFonts w:ascii="Calibri" w:hAnsi="Calibri"/>
          <w:b w:val="0"/>
          <w:i w:val="0"/>
          <w:sz w:val="19"/>
        </w:rPr>
        <w:t>Built the LPP (Learn, Practice, Perform) module — customized 1:1 sessions, group activities, and performance tasks — driving 20% revenue growth, 25% ARPU expansion (₹35K → ₹45K), and 50% higher revenue per class (₹600 → ₹900).</w:t>
      </w:r>
    </w:p>
    <w:p>
      <w:pPr>
        <w:pStyle w:val="ListBullet"/>
        <w:spacing w:after="60" w:before="0" w:line="278" w:lineRule="auto"/>
      </w:pPr>
      <w:r>
        <w:rPr>
          <w:rFonts w:ascii="Calibri" w:hAnsi="Calibri"/>
          <w:b w:val="0"/>
          <w:i w:val="0"/>
          <w:sz w:val="19"/>
        </w:rPr>
        <w:t>Automated enrolment verification and incentive flows to 100% coverage and revamped the advisor CRM (lead navigation, calling, revenue &amp; target tracking) — cutting operations workload 80% and saving ₹1.6L/month.</w:t>
      </w:r>
    </w:p>
    <w:p>
      <w:pPr>
        <w:tabs>
          <w:tab w:pos="10546" w:val="right"/>
        </w:tabs>
        <w:spacing w:before="80" w:after="0"/>
      </w:pPr>
      <w:r>
        <w:rPr>
          <w:rFonts w:ascii="Calibri" w:hAnsi="Calibri"/>
          <w:b/>
          <w:i/>
          <w:color w:val="2E5AAC"/>
          <w:sz w:val="19"/>
        </w:rPr>
        <w:t>Senior Product Analyst</w:t>
      </w:r>
      <w:r>
        <w:rPr>
          <w:rFonts w:ascii="Calibri" w:hAnsi="Calibri"/>
          <w:b w:val="0"/>
          <w:i/>
          <w:color w:val="444444"/>
          <w:sz w:val="19"/>
        </w:rPr>
        <w:tab/>
        <w:t>Mar 2021 – Aug 2022</w:t>
      </w:r>
    </w:p>
    <w:p>
      <w:pPr>
        <w:pStyle w:val="ListBullet"/>
        <w:spacing w:after="60" w:before="0" w:line="278" w:lineRule="auto"/>
      </w:pPr>
      <w:r>
        <w:rPr>
          <w:rFonts w:ascii="Calibri" w:hAnsi="Calibri"/>
          <w:b w:val="0"/>
          <w:i w:val="0"/>
          <w:sz w:val="19"/>
        </w:rPr>
        <w:t>Developed SQL and Power BI reporting across growth, revenue, and operations; improved weekly revenue accuracy and created a data foundation for product and commercial decisions.</w:t>
      </w:r>
    </w:p>
    <w:p>
      <w:pPr>
        <w:spacing w:before="140" w:after="60"/>
        <w:pBdr>
          <w:bottom w:val="single" w:sz="6" w:space="1" w:color="2E5AAC"/>
        </w:pBdr>
      </w:pPr>
      <w:r>
        <w:rPr>
          <w:rFonts w:ascii="Calibri" w:hAnsi="Calibri"/>
          <w:b/>
          <w:color w:val="1F3864"/>
          <w:sz w:val="22"/>
        </w:rPr>
        <w:t>TECHNICAL SKILLS &amp; TOOLS</w:t>
      </w:r>
    </w:p>
    <w:p>
      <w:pPr>
        <w:pStyle w:val="ListBullet"/>
        <w:spacing w:after="60" w:before="0" w:line="278" w:lineRule="auto"/>
      </w:pPr>
      <w:r>
        <w:rPr>
          <w:rFonts w:ascii="Calibri" w:hAnsi="Calibri"/>
          <w:b/>
          <w:i w:val="0"/>
          <w:sz w:val="19"/>
        </w:rPr>
        <w:t xml:space="preserve">Data &amp; Analytics: </w:t>
      </w:r>
      <w:r>
        <w:rPr>
          <w:rFonts w:ascii="Calibri" w:hAnsi="Calibri"/>
          <w:b w:val="0"/>
          <w:i w:val="0"/>
          <w:sz w:val="19"/>
        </w:rPr>
        <w:t>SQL, GA4, Power BI, MS Excel (Advanced), Python (basic)</w:t>
      </w:r>
    </w:p>
    <w:p>
      <w:pPr>
        <w:pStyle w:val="ListBullet"/>
        <w:spacing w:after="60" w:before="0" w:line="278" w:lineRule="auto"/>
      </w:pPr>
      <w:r>
        <w:rPr>
          <w:rFonts w:ascii="Calibri" w:hAnsi="Calibri"/>
          <w:b/>
          <w:i w:val="0"/>
          <w:sz w:val="19"/>
        </w:rPr>
        <w:t xml:space="preserve">Product &amp; Delivery: </w:t>
      </w:r>
      <w:r>
        <w:rPr>
          <w:rFonts w:ascii="Calibri" w:hAnsi="Calibri"/>
          <w:b w:val="0"/>
          <w:i w:val="0"/>
          <w:sz w:val="19"/>
        </w:rPr>
        <w:t>JIRA, Confluence, Agile/Scrum, RICE prioritization, Figma</w:t>
      </w:r>
    </w:p>
    <w:p>
      <w:pPr>
        <w:pStyle w:val="ListBullet"/>
        <w:spacing w:after="60" w:before="0" w:line="278" w:lineRule="auto"/>
      </w:pPr>
      <w:r>
        <w:rPr>
          <w:rFonts w:ascii="Calibri" w:hAnsi="Calibri"/>
          <w:b/>
          <w:i w:val="0"/>
          <w:sz w:val="19"/>
        </w:rPr>
        <w:t xml:space="preserve">AI &amp; Integration: </w:t>
      </w:r>
      <w:r>
        <w:rPr>
          <w:rFonts w:ascii="Calibri" w:hAnsi="Calibri"/>
          <w:b w:val="0"/>
          <w:i w:val="0"/>
          <w:sz w:val="19"/>
        </w:rPr>
        <w:t>OpenAI / Gemini / Claude APIs, Claude Code, Prompt Engineering, RAG, REST APIs, Payment Integrations</w:t>
      </w:r>
    </w:p>
    <w:p>
      <w:pPr>
        <w:spacing w:before="140" w:after="60"/>
        <w:pBdr>
          <w:bottom w:val="single" w:sz="6" w:space="1" w:color="2E5AAC"/>
        </w:pBdr>
      </w:pPr>
      <w:r>
        <w:rPr>
          <w:rFonts w:ascii="Calibri" w:hAnsi="Calibri"/>
          <w:b/>
          <w:color w:val="1F3864"/>
          <w:sz w:val="22"/>
        </w:rPr>
        <w:t>EDUCATION &amp; CERTIFICATIONS</w:t>
      </w:r>
    </w:p>
    <w:p>
      <w:pPr>
        <w:tabs>
          <w:tab w:pos="10546" w:val="right"/>
        </w:tabs>
        <w:spacing w:after="60"/>
      </w:pPr>
      <w:r>
        <w:rPr>
          <w:rFonts w:ascii="Calibri" w:hAnsi="Calibri"/>
          <w:b/>
          <w:i w:val="0"/>
          <w:sz w:val="19"/>
        </w:rPr>
        <w:t>BBA — Chandigarh University, Chandigarh</w:t>
      </w:r>
      <w:r>
        <w:rPr>
          <w:rFonts w:ascii="Calibri" w:hAnsi="Calibri"/>
          <w:b w:val="0"/>
          <w:i w:val="0"/>
          <w:color w:val="444444"/>
          <w:sz w:val="19"/>
        </w:rPr>
        <w:tab/>
        <w:t>2018 – 2021</w:t>
      </w:r>
    </w:p>
    <w:p>
      <w:pPr>
        <w:spacing w:after="60"/>
      </w:pPr>
      <w:r>
        <w:rPr>
          <w:rFonts w:ascii="Calibri" w:hAnsi="Calibri"/>
          <w:b w:val="0"/>
          <w:i w:val="0"/>
          <w:color w:val="444444"/>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8"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0" w:line="278"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shitizyadav788@gmail.com" TargetMode="External"/><Relationship Id="rId10" Type="http://schemas.openxmlformats.org/officeDocument/2006/relationships/hyperlink" Target="https://linkedin.com/in/kshitiz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