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color w:val="1F3864"/>
          <w:sz w:val="34"/>
        </w:rPr>
        <w:t>KSHITIZ YADAV</w:t>
      </w:r>
    </w:p>
    <w:p>
      <w:pPr>
        <w:spacing w:after="0"/>
        <w:jc w:val="center"/>
      </w:pPr>
      <w:r>
        <w:rPr>
          <w:rFonts w:ascii="Calibri" w:hAnsi="Calibri"/>
          <w:b w:val="0"/>
          <w:i w:val="0"/>
          <w:color w:val="444444"/>
          <w:sz w:val="19"/>
        </w:rPr>
        <w:t>Product Manager  |  End-to-End Business &amp; P&amp;L Ownership  |  Experimentation &amp; Unit Economics  |  Systems Thinking &amp; Cross-Functional Delivery  |  AI-Enabled, Self-Directed Learner</w:t>
      </w:r>
    </w:p>
    <w:p>
      <w:pPr>
        <w:spacing w:after="60"/>
        <w:jc w:val="center"/>
      </w:pPr>
      <w:r>
        <w:rPr>
          <w:rFonts w:ascii="Calibri" w:hAnsi="Calibri"/>
          <w:b w:val="0"/>
          <w:i w:val="0"/>
          <w:color w:val="444444"/>
          <w:sz w:val="18"/>
        </w:rPr>
        <w:t>Gurugram, India  •  +91 8756972501  •  kshitizyadav788@gmail.com  •  linkedin.com/in/kshitizyadav</w:t>
      </w:r>
    </w:p>
    <w:p>
      <w:pPr>
        <w:spacing w:before="140" w:after="60"/>
        <w:pBdr>
          <w:bottom w:val="single" w:sz="6" w:space="1" w:color="2E5AAC"/>
        </w:pBdr>
      </w:pPr>
      <w:r>
        <w:rPr>
          <w:rFonts w:ascii="Calibri" w:hAnsi="Calibri"/>
          <w:b/>
          <w:color w:val="1F3864"/>
          <w:sz w:val="22"/>
        </w:rPr>
        <w:t>PROFESSIONAL SUMMARY</w:t>
      </w:r>
    </w:p>
    <w:p>
      <w:pPr>
        <w:spacing w:after="60"/>
      </w:pPr>
      <w:r>
        <w:rPr>
          <w:rFonts w:ascii="Calibri" w:hAnsi="Calibri"/>
          <w:b w:val="0"/>
          <w:i w:val="0"/>
          <w:sz w:val="19"/>
        </w:rPr>
        <w:t>Product Manager with 5+ years owning products end-to-end — accountable for the commercial outcome, not just execution. Owns unit economics and P&amp;L, runs structured experimentation (A/B testing), and traces features end-to-end across frontend, backend, third-party partner APIs, and ops workflows. Keeps rigorous written artifacts (PRDs, SOPs, decision logs), prioritizes ruthlessly by business impact, and closes knowledge gaps fast using every resource including AI tools. Track record of 20% revenue growth and profitability visibility via a P&amp;L tracker.</w:t>
      </w:r>
    </w:p>
    <w:p>
      <w:pPr>
        <w:spacing w:before="140" w:after="60"/>
        <w:pBdr>
          <w:bottom w:val="single" w:sz="6" w:space="1" w:color="2E5AAC"/>
        </w:pBdr>
      </w:pPr>
      <w:r>
        <w:rPr>
          <w:rFonts w:ascii="Calibri" w:hAnsi="Calibri"/>
          <w:b/>
          <w:color w:val="1F3864"/>
          <w:sz w:val="22"/>
        </w:rPr>
        <w:t>PROFESSIONAL EXPERIENCE</w:t>
      </w:r>
    </w:p>
    <w:p>
      <w:pPr>
        <w:tabs>
          <w:tab w:pos="10546" w:val="right"/>
        </w:tabs>
        <w:spacing w:after="0"/>
      </w:pPr>
      <w:r>
        <w:rPr>
          <w:rFonts w:ascii="Calibri" w:hAnsi="Calibri"/>
          <w:b/>
          <w:i w:val="0"/>
          <w:sz w:val="21"/>
        </w:rPr>
        <w:t>PlanetSpark — Product Manager</w:t>
      </w:r>
      <w:r>
        <w:rPr>
          <w:rFonts w:ascii="Calibri" w:hAnsi="Calibri"/>
          <w:b w:val="0"/>
          <w:i w:val="0"/>
          <w:color w:val="444444"/>
          <w:sz w:val="19"/>
        </w:rPr>
        <w:tab/>
        <w:t>Gurugram · Mar 2021 – Present</w:t>
      </w:r>
    </w:p>
    <w:p>
      <w:pPr>
        <w:spacing w:after="60"/>
      </w:pPr>
      <w:r>
        <w:rPr>
          <w:rFonts w:ascii="Calibri" w:hAnsi="Calibri"/>
          <w:b w:val="0"/>
          <w:i/>
          <w:color w:val="333333"/>
          <w:sz w:val="19"/>
        </w:rPr>
        <w:t>Own the end-to-end product suite of a consumer EdTech marketplace connecting students and teachers via a shared LMS — consumer app, LMS, sales CRM, product-led growth, and an in-house AI layer — accountable for commercial outcomes and partnering directly with engineering, ops, and third-party partners.</w:t>
      </w:r>
    </w:p>
    <w:p>
      <w:pPr>
        <w:spacing w:before="80" w:after="0"/>
      </w:pPr>
      <w:r>
        <w:rPr>
          <w:rFonts w:ascii="Calibri" w:hAnsi="Calibri"/>
          <w:b/>
          <w:i/>
          <w:color w:val="2E5AAC"/>
          <w:sz w:val="19"/>
        </w:rPr>
        <w:t>End-to-End Business &amp; P&amp;L Ownership</w:t>
      </w:r>
    </w:p>
    <w:p>
      <w:pPr>
        <w:pStyle w:val="ListBullet"/>
        <w:spacing w:after="60" w:before="0" w:line="278" w:lineRule="auto"/>
      </w:pPr>
      <w:r>
        <w:rPr>
          <w:rFonts w:ascii="Calibri" w:hAnsi="Calibri"/>
          <w:b w:val="0"/>
          <w:i w:val="0"/>
          <w:sz w:val="19"/>
        </w:rPr>
        <w:t>Built a counselor-wise P&amp;L tracker computing weekly profitability per counselor (Net Revenue − Fixed, Refund, Marketing &amp; Sales cost) — owning unit economics and putting the exact revenue-to-profitability figure in the hands of the front line.</w:t>
      </w:r>
    </w:p>
    <w:p>
      <w:pPr>
        <w:pStyle w:val="ListBullet"/>
        <w:spacing w:after="60" w:before="0" w:line="278" w:lineRule="auto"/>
      </w:pPr>
      <w:r>
        <w:rPr>
          <w:rFonts w:ascii="Calibri" w:hAnsi="Calibri"/>
          <w:b w:val="0"/>
          <w:i w:val="0"/>
          <w:sz w:val="19"/>
        </w:rPr>
        <w:t>Built the LPP monetization module driving 20% revenue growth and 25% ARPU expansion (₹35K → ₹45K), and an in-product renewal engine that generated ₹70L in product-led renewals in a single month — tracking revenue, adoption, and unit economics as the owner of the commercial outcome.</w:t>
      </w:r>
    </w:p>
    <w:p>
      <w:pPr>
        <w:spacing w:before="80" w:after="0"/>
      </w:pPr>
      <w:r>
        <w:rPr>
          <w:rFonts w:ascii="Calibri" w:hAnsi="Calibri"/>
          <w:b/>
          <w:i/>
          <w:color w:val="2E5AAC"/>
          <w:sz w:val="19"/>
        </w:rPr>
        <w:t>Experimentation, Systems Thinking &amp; Partner Coordination</w:t>
      </w:r>
    </w:p>
    <w:p>
      <w:pPr>
        <w:pStyle w:val="ListBullet"/>
        <w:spacing w:after="60" w:before="0" w:line="278" w:lineRule="auto"/>
      </w:pPr>
      <w:r>
        <w:rPr>
          <w:rFonts w:ascii="Calibri" w:hAnsi="Calibri"/>
          <w:b w:val="0"/>
          <w:i w:val="0"/>
          <w:sz w:val="19"/>
        </w:rPr>
        <w:t>Ran structured experimentation (A/B testing) and user-behavior analysis across the sign-up → demo → enrolment funnel; re-architected it (single-step OTP, best-fit ranking, 6 API-integrated payment gateways) — reducing drop-off across the whole journey.</w:t>
      </w:r>
    </w:p>
    <w:p>
      <w:pPr>
        <w:pStyle w:val="ListBullet"/>
        <w:spacing w:after="60" w:before="0" w:line="278" w:lineRule="auto"/>
      </w:pPr>
      <w:r>
        <w:rPr>
          <w:rFonts w:ascii="Calibri" w:hAnsi="Calibri"/>
          <w:b w:val="0"/>
          <w:i w:val="0"/>
          <w:sz w:val="19"/>
        </w:rPr>
        <w:t>Traced features end-to-end across frontend, backend, third-party partner APIs, and ops workflows — integrating and coordinating external partners (payments: Razorpay/PayU/PayGlocal/PayPal; telephony, video, and messaging vendors) as the primary interface to third parties.</w:t>
      </w:r>
    </w:p>
    <w:p>
      <w:pPr>
        <w:pStyle w:val="ListBullet"/>
        <w:spacing w:after="60" w:before="0" w:line="278" w:lineRule="auto"/>
      </w:pPr>
      <w:r>
        <w:rPr>
          <w:rFonts w:ascii="Calibri" w:hAnsi="Calibri"/>
          <w:b w:val="0"/>
          <w:i w:val="0"/>
          <w:sz w:val="19"/>
        </w:rPr>
        <w:t>Surfaced risks and dependencies early with a recommended answer attached; drove delivery across engineering, design, QA, and operations.</w:t>
      </w:r>
    </w:p>
    <w:p>
      <w:pPr>
        <w:spacing w:before="80" w:after="0"/>
      </w:pPr>
      <w:r>
        <w:rPr>
          <w:rFonts w:ascii="Calibri" w:hAnsi="Calibri"/>
          <w:b/>
          <w:i/>
          <w:color w:val="2E5AAC"/>
          <w:sz w:val="19"/>
        </w:rPr>
        <w:t>Documentation, AI &amp; Automation</w:t>
      </w:r>
    </w:p>
    <w:p>
      <w:pPr>
        <w:pStyle w:val="ListBullet"/>
        <w:spacing w:after="60" w:before="0" w:line="278" w:lineRule="auto"/>
      </w:pPr>
      <w:r>
        <w:rPr>
          <w:rFonts w:ascii="Calibri" w:hAnsi="Calibri"/>
          <w:b w:val="0"/>
          <w:i w:val="0"/>
          <w:sz w:val="19"/>
        </w:rPr>
        <w:t>Maintained rigorous written artifacts — PRDs, SOPs, and runbooks written to be consumed — and used AI tools (LLMs, prompt engineering) to close knowledge gaps and accelerate discovery, PRDs, and prototyping.</w:t>
      </w:r>
    </w:p>
    <w:p>
      <w:pPr>
        <w:pStyle w:val="ListBullet"/>
        <w:spacing w:after="60" w:before="0" w:line="278" w:lineRule="auto"/>
      </w:pPr>
      <w:r>
        <w:rPr>
          <w:rFonts w:ascii="Calibri" w:hAnsi="Calibri"/>
          <w:b w:val="0"/>
          <w:i w:val="0"/>
          <w:sz w:val="19"/>
        </w:rPr>
        <w:t>Shipped a production GenAI layer and revamped the Sales CRM + automation (enrolment verification, incentive flows), cutting sales-ops workload 80%, saving ₹1.6L/month, and cutting fake sales from 10% to 1%.</w:t>
      </w:r>
    </w:p>
    <w:p>
      <w:pPr>
        <w:spacing w:before="140" w:after="60"/>
        <w:pBdr>
          <w:bottom w:val="single" w:sz="6" w:space="1" w:color="2E5AAC"/>
        </w:pBdr>
      </w:pPr>
      <w:r>
        <w:rPr>
          <w:rFonts w:ascii="Calibri" w:hAnsi="Calibri"/>
          <w:b/>
          <w:color w:val="1F3864"/>
          <w:sz w:val="22"/>
        </w:rPr>
        <w:t>CORE COMPETENCIES</w:t>
      </w:r>
    </w:p>
    <w:p>
      <w:pPr>
        <w:spacing w:after="60"/>
      </w:pPr>
      <w:r>
        <w:rPr>
          <w:rFonts w:ascii="Calibri" w:hAnsi="Calibri"/>
          <w:b w:val="0"/>
          <w:i w:val="0"/>
          <w:sz w:val="19"/>
        </w:rPr>
        <w:t>End-to-End Product &amp; P&amp;L Ownership · Unit Economics &amp; Commercial Outcomes · A/B Testing &amp; Experimentation · Systems Thinking (Frontend → Backend → Partner APIs → Ops) · Cross-Functional &amp; Third-Party Partner Coordination · PRDs, User Stories &amp; Structured Documentation (SOPs, Runbooks, Decision Logs) · Prioritization by Business Impact · User Behavior Analysis &amp; Benchmarking · Payments &amp; Third-Party Integrations · AI-Assisted Learning &amp; Delivery · Stakeholder Management</w:t>
      </w:r>
    </w:p>
    <w:p>
      <w:pPr>
        <w:spacing w:before="140" w:after="60"/>
        <w:pBdr>
          <w:bottom w:val="single" w:sz="6" w:space="1" w:color="2E5AAC"/>
        </w:pBdr>
      </w:pPr>
      <w:r>
        <w:rPr>
          <w:rFonts w:ascii="Calibri" w:hAnsi="Calibri"/>
          <w:b/>
          <w:color w:val="1F3864"/>
          <w:sz w:val="22"/>
        </w:rPr>
        <w:t>TECHNICAL SKILLS &amp; TOOLS</w:t>
      </w:r>
    </w:p>
    <w:p>
      <w:pPr>
        <w:pStyle w:val="ListBullet"/>
        <w:spacing w:after="60" w:before="0" w:line="278" w:lineRule="auto"/>
      </w:pPr>
      <w:r>
        <w:rPr>
          <w:rFonts w:ascii="Calibri" w:hAnsi="Calibri"/>
          <w:b/>
          <w:i w:val="0"/>
          <w:sz w:val="19"/>
        </w:rPr>
        <w:t xml:space="preserve">Data &amp; Analytics: </w:t>
      </w:r>
      <w:r>
        <w:rPr>
          <w:rFonts w:ascii="Calibri" w:hAnsi="Calibri"/>
          <w:b w:val="0"/>
          <w:i w:val="0"/>
          <w:sz w:val="19"/>
        </w:rPr>
        <w:t>SQL, GA4, Power BI, A/B testing, user-behavior analysis, MS Excel (Advanced), Python (basic)</w:t>
      </w:r>
    </w:p>
    <w:p>
      <w:pPr>
        <w:pStyle w:val="ListBullet"/>
        <w:spacing w:after="60" w:before="0" w:line="278" w:lineRule="auto"/>
      </w:pPr>
      <w:r>
        <w:rPr>
          <w:rFonts w:ascii="Calibri" w:hAnsi="Calibri"/>
          <w:b/>
          <w:i w:val="0"/>
          <w:sz w:val="19"/>
        </w:rPr>
        <w:t xml:space="preserve">Product &amp; Delivery: </w:t>
      </w:r>
      <w:r>
        <w:rPr>
          <w:rFonts w:ascii="Calibri" w:hAnsi="Calibri"/>
          <w:b w:val="0"/>
          <w:i w:val="0"/>
          <w:sz w:val="19"/>
        </w:rPr>
        <w:t>PRDs, user stories, SOPs/runbooks, roadmap, RICE prioritization, JIRA, Confluence, Agile/Scrum</w:t>
      </w:r>
    </w:p>
    <w:p>
      <w:pPr>
        <w:pStyle w:val="ListBullet"/>
        <w:spacing w:after="60" w:before="0" w:line="278" w:lineRule="auto"/>
      </w:pPr>
      <w:r>
        <w:rPr>
          <w:rFonts w:ascii="Calibri" w:hAnsi="Calibri"/>
          <w:b/>
          <w:i w:val="0"/>
          <w:sz w:val="19"/>
        </w:rPr>
        <w:t xml:space="preserve">Integrations: </w:t>
      </w:r>
      <w:r>
        <w:rPr>
          <w:rFonts w:ascii="Calibri" w:hAnsi="Calibri"/>
          <w:b w:val="0"/>
          <w:i w:val="0"/>
          <w:sz w:val="19"/>
        </w:rPr>
        <w:t>REST APIs, payment-gateway integration (Razorpay, PayU, PayGlocal, PayPal), telephony/video/messaging vendors</w:t>
      </w:r>
    </w:p>
    <w:p>
      <w:pPr>
        <w:pStyle w:val="ListBullet"/>
        <w:spacing w:after="60" w:before="0" w:line="278" w:lineRule="auto"/>
      </w:pPr>
      <w:r>
        <w:rPr>
          <w:rFonts w:ascii="Calibri" w:hAnsi="Calibri"/>
          <w:b/>
          <w:i w:val="0"/>
          <w:sz w:val="19"/>
        </w:rPr>
        <w:t xml:space="preserve">AI &amp; Tools: </w:t>
      </w:r>
      <w:r>
        <w:rPr>
          <w:rFonts w:ascii="Calibri" w:hAnsi="Calibri"/>
          <w:b w:val="0"/>
          <w:i w:val="0"/>
          <w:sz w:val="19"/>
        </w:rPr>
        <w:t>OpenAI / Gemini / Claude APIs, Prompt Engineering, NLP use-cases</w:t>
      </w:r>
    </w:p>
    <w:p>
      <w:pPr>
        <w:spacing w:before="140" w:after="60"/>
        <w:pBdr>
          <w:bottom w:val="single" w:sz="6" w:space="1" w:color="2E5AAC"/>
        </w:pBdr>
      </w:pPr>
      <w:r>
        <w:rPr>
          <w:rFonts w:ascii="Calibri" w:hAnsi="Calibri"/>
          <w:b/>
          <w:color w:val="1F3864"/>
          <w:sz w:val="22"/>
        </w:rPr>
        <w:t>EDUCATION</w:t>
      </w:r>
    </w:p>
    <w:p>
      <w:pPr>
        <w:tabs>
          <w:tab w:pos="10546" w:val="right"/>
        </w:tabs>
        <w:spacing w:after="60"/>
      </w:pPr>
      <w:r>
        <w:rPr>
          <w:rFonts w:ascii="Calibri" w:hAnsi="Calibri"/>
          <w:b/>
          <w:i w:val="0"/>
          <w:sz w:val="19"/>
        </w:rPr>
        <w:t>BBA — Chandigarh University, Chandigarh</w:t>
      </w:r>
      <w:r>
        <w:rPr>
          <w:rFonts w:ascii="Calibri" w:hAnsi="Calibri"/>
          <w:b w:val="0"/>
          <w:i w:val="0"/>
          <w:color w:val="444444"/>
          <w:sz w:val="19"/>
        </w:rPr>
        <w:tab/>
        <w:t>2019 – 2021</w:t>
      </w:r>
    </w:p>
    <w:p>
      <w:pPr>
        <w:tabs>
          <w:tab w:pos="10546" w:val="right"/>
        </w:tabs>
        <w:spacing w:after="60"/>
      </w:pPr>
      <w:r>
        <w:rPr>
          <w:rFonts w:ascii="Calibri" w:hAnsi="Calibri"/>
          <w:b/>
          <w:i w:val="0"/>
          <w:sz w:val="19"/>
        </w:rPr>
        <w:t>Class XII (ISC), St. Thomas High School, Kanpur</w:t>
      </w:r>
      <w:r>
        <w:rPr>
          <w:rFonts w:ascii="Calibri" w:hAnsi="Calibri"/>
          <w:b w:val="0"/>
          <w:i w:val="0"/>
          <w:color w:val="444444"/>
          <w:sz w:val="19"/>
        </w:rPr>
        <w:tab/>
        <w:t>2018</w:t>
      </w:r>
    </w:p>
    <w:p>
      <w:pPr>
        <w:spacing w:before="140" w:after="60"/>
        <w:pBdr>
          <w:bottom w:val="single" w:sz="6" w:space="1" w:color="2E5AAC"/>
        </w:pBdr>
      </w:pPr>
      <w:r>
        <w:rPr>
          <w:rFonts w:ascii="Calibri" w:hAnsi="Calibri"/>
          <w:b/>
          <w:color w:val="1F3864"/>
          <w:sz w:val="22"/>
        </w:rPr>
        <w:t>CERTIFICATIONS</w:t>
      </w:r>
    </w:p>
    <w:p>
      <w:pPr>
        <w:pStyle w:val="ListBullet"/>
        <w:spacing w:after="60" w:before="0" w:line="278" w:lineRule="auto"/>
      </w:pPr>
      <w:r>
        <w:rPr>
          <w:rFonts w:ascii="Calibri" w:hAnsi="Calibri"/>
          <w:b w:val="0"/>
          <w:i w:val="0"/>
          <w:sz w:val="19"/>
        </w:rPr>
        <w:t>Product Management Certification — Udemy (2024)    •    JIRA Certification — Udemy (2024)</w:t>
      </w:r>
    </w:p>
    <w:sectPr w:rsidR="00FC693F" w:rsidRPr="0006063C" w:rsidSect="00034616">
      <w:pgSz w:w="11906" w:h="16838"/>
      <w:pgMar w:top="510" w:right="680" w:bottom="51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78"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before="0" w:line="278"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