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Capability &amp; Product Strategy  |  Lifecycle, Roadmap &amp; KPIs  |  Cross-Functional Delivery &amp; Stakeholder Influence  |  Data-Driven, AI-Enabled</w:t>
      </w:r>
    </w:p>
    <w:p>
      <w:pPr>
        <w:spacing w:after="60"/>
        <w:jc w:val="center"/>
      </w:pPr>
      <w:r>
        <w:rPr>
          <w:rFonts w:ascii="Calibri" w:hAnsi="Calibri"/>
          <w:b w:val="0"/>
          <w:i w:val="0"/>
          <w:color w:val="444444"/>
          <w:sz w:val="18"/>
        </w:rPr>
        <w:t>Gurugram, India  •  +91 8756972501  •  kshitizyadav788@gmail.com  •  linkedin.com/in/kshitizyadav</w:t>
      </w:r>
    </w:p>
    <w:p>
      <w:pPr>
        <w:spacing w:before="140" w:after="60"/>
        <w:pBdr>
          <w:bottom w:val="single" w:sz="6" w:space="1" w:color="2E5AAC"/>
        </w:pBdr>
      </w:pPr>
      <w:r>
        <w:rPr>
          <w:rFonts w:ascii="Calibri" w:hAnsi="Calibri"/>
          <w:b/>
          <w:color w:val="1F3864"/>
          <w:sz w:val="22"/>
        </w:rPr>
        <w:t>PROFESSIONAL SUMMARY</w:t>
      </w:r>
    </w:p>
    <w:p>
      <w:pPr>
        <w:spacing w:after="60"/>
      </w:pPr>
      <w:r>
        <w:rPr>
          <w:rFonts w:ascii="Calibri" w:hAnsi="Calibri"/>
          <w:b w:val="0"/>
          <w:i w:val="0"/>
          <w:sz w:val="19"/>
        </w:rPr>
        <w:t>Product Manager with 5+ years owning products and capabilities end-to-end — strategy, vision, lifecycle, and roadmap — across consumer, marketplace, and internal platform and CRM systems. Sets KPI targets, builds business cases, and drives operational readiness and adoption by influencing engineering, operations, and business teams without direct authority. Brings deep strategic thinking backed by data (SQL, Power BI, GA4), with a track record of 20% revenue growth and ₹70L in product-led renewals.</w:t>
      </w:r>
    </w:p>
    <w:p>
      <w:pPr>
        <w:spacing w:before="140" w:after="60"/>
        <w:pBdr>
          <w:bottom w:val="single" w:sz="6" w:space="1" w:color="2E5AAC"/>
        </w:pBdr>
      </w:pPr>
      <w:r>
        <w:rPr>
          <w:rFonts w:ascii="Calibri" w:hAnsi="Calibri"/>
          <w:b/>
          <w:color w:val="1F3864"/>
          <w:sz w:val="22"/>
        </w:rPr>
        <w:t>PROFESSIONAL EXPERIENCE</w:t>
      </w:r>
    </w:p>
    <w:p>
      <w:pPr>
        <w:tabs>
          <w:tab w:pos="10546" w:val="right"/>
        </w:tabs>
        <w:spacing w:after="0"/>
      </w:pPr>
      <w:r>
        <w:rPr>
          <w:rFonts w:ascii="Calibri" w:hAnsi="Calibri"/>
          <w:b/>
          <w:i w:val="0"/>
          <w:sz w:val="21"/>
        </w:rPr>
        <w:t>PlanetSpark — Product Manager</w:t>
      </w:r>
      <w:r>
        <w:rPr>
          <w:rFonts w:ascii="Calibri" w:hAnsi="Calibri"/>
          <w:b w:val="0"/>
          <w:i w:val="0"/>
          <w:color w:val="444444"/>
          <w:sz w:val="19"/>
        </w:rPr>
        <w:tab/>
        <w:t>Gurugram · Mar 2021 – Present</w:t>
      </w:r>
    </w:p>
    <w:p>
      <w:pPr>
        <w:spacing w:after="60"/>
      </w:pPr>
      <w:r>
        <w:rPr>
          <w:rFonts w:ascii="Calibri" w:hAnsi="Calibri"/>
          <w:b w:val="0"/>
          <w:i/>
          <w:color w:val="333333"/>
          <w:sz w:val="19"/>
        </w:rPr>
        <w:t>Own the full product suite of a B2C EdTech marketplace connecting students and teachers via a shared LMS — consumer app, LMS, sales CRM, product-led growth &amp; renewal engine, and an in-house AI layer — with end-to-end ownership of capability strategy, lifecycle, and KPIs.</w:t>
      </w:r>
    </w:p>
    <w:p>
      <w:pPr>
        <w:spacing w:before="80" w:after="0"/>
      </w:pPr>
      <w:r>
        <w:rPr>
          <w:rFonts w:ascii="Calibri" w:hAnsi="Calibri"/>
          <w:b/>
          <w:i/>
          <w:color w:val="2E5AAC"/>
          <w:sz w:val="19"/>
        </w:rPr>
        <w:t>Capability Strategy, Lifecycle &amp; KPIs</w:t>
      </w:r>
    </w:p>
    <w:p>
      <w:pPr>
        <w:pStyle w:val="ListBullet"/>
        <w:spacing w:after="60" w:before="0" w:line="278" w:lineRule="auto"/>
      </w:pPr>
      <w:r>
        <w:rPr>
          <w:rFonts w:ascii="Calibri" w:hAnsi="Calibri"/>
          <w:b w:val="0"/>
          <w:i w:val="0"/>
          <w:sz w:val="19"/>
        </w:rPr>
        <w:t>Own end-to-end product capability strategy, vision, lifecycle, and roadmap across the app, LMS, CRM, and growth engine — establishing KPI targets and making data-backed decisions to scale, maintain, or cut capabilities based on unit economics.</w:t>
      </w:r>
    </w:p>
    <w:p>
      <w:pPr>
        <w:pStyle w:val="ListBullet"/>
        <w:spacing w:after="60" w:before="0" w:line="278" w:lineRule="auto"/>
      </w:pPr>
      <w:r>
        <w:rPr>
          <w:rFonts w:ascii="Calibri" w:hAnsi="Calibri"/>
          <w:b w:val="0"/>
          <w:i w:val="0"/>
          <w:sz w:val="19"/>
        </w:rPr>
        <w:t>Built a counselor-wise P&amp;L tracker computing weekly profitability per sales counselor (Net Revenue − Fixed, Refund, Marketing &amp; Sales cost) — a business-case and unit-economics tool putting scale-or-cut decisions in the hands of the front line.</w:t>
      </w:r>
    </w:p>
    <w:p>
      <w:pPr>
        <w:pStyle w:val="ListBullet"/>
        <w:spacing w:after="60" w:before="0" w:line="278" w:lineRule="auto"/>
      </w:pPr>
      <w:r>
        <w:rPr>
          <w:rFonts w:ascii="Calibri" w:hAnsi="Calibri"/>
          <w:b w:val="0"/>
          <w:i w:val="0"/>
          <w:sz w:val="19"/>
        </w:rPr>
        <w:t>Built the LPP (Learn, Practice, Perform) module driving 20% revenue growth, 25% ARPU expansion (₹35K → ₹45K), and ₹70L in product-led renewals in a single month.</w:t>
      </w:r>
    </w:p>
    <w:p>
      <w:pPr>
        <w:spacing w:before="80" w:after="0"/>
      </w:pPr>
      <w:r>
        <w:rPr>
          <w:rFonts w:ascii="Calibri" w:hAnsi="Calibri"/>
          <w:b/>
          <w:i/>
          <w:color w:val="2E5AAC"/>
          <w:sz w:val="19"/>
        </w:rPr>
        <w:t>Cross-Functional Delivery, Adoption &amp; Risk</w:t>
      </w:r>
    </w:p>
    <w:p>
      <w:pPr>
        <w:pStyle w:val="ListBullet"/>
        <w:spacing w:after="60" w:before="0" w:line="278" w:lineRule="auto"/>
      </w:pPr>
      <w:r>
        <w:rPr>
          <w:rFonts w:ascii="Calibri" w:hAnsi="Calibri"/>
          <w:b w:val="0"/>
          <w:i w:val="0"/>
          <w:sz w:val="19"/>
        </w:rPr>
        <w:t>Drove operational readiness for launches — aligning engineering, operations, and business teams and building cross-enterprise relationships to accelerate adoption: the 0→1 consumer app MVP (2 months) and the Student LMS (raised course completion 15%, improved NPS).</w:t>
      </w:r>
    </w:p>
    <w:p>
      <w:pPr>
        <w:pStyle w:val="ListBullet"/>
        <w:spacing w:after="60" w:before="0" w:line="278" w:lineRule="auto"/>
      </w:pPr>
      <w:r>
        <w:rPr>
          <w:rFonts w:ascii="Calibri" w:hAnsi="Calibri"/>
          <w:b w:val="0"/>
          <w:i w:val="0"/>
          <w:sz w:val="19"/>
        </w:rPr>
        <w:t>Led counselor demos and stakeholder communications for new initiatives, and drove risk mitigation via a customer-verification flow that cut fake sales from 10% to 1%.</w:t>
      </w:r>
    </w:p>
    <w:p>
      <w:pPr>
        <w:pStyle w:val="ListBullet"/>
        <w:spacing w:after="60" w:before="0" w:line="278" w:lineRule="auto"/>
      </w:pPr>
      <w:r>
        <w:rPr>
          <w:rFonts w:ascii="Calibri" w:hAnsi="Calibri"/>
          <w:b w:val="0"/>
          <w:i w:val="0"/>
          <w:sz w:val="19"/>
        </w:rPr>
        <w:t>Used market and customer insights (behavioral analysis, segmentation, funnel analytics) to identify new opportunities and prioritize the roadmap.</w:t>
      </w:r>
    </w:p>
    <w:p>
      <w:pPr>
        <w:spacing w:before="80" w:after="0"/>
      </w:pPr>
      <w:r>
        <w:rPr>
          <w:rFonts w:ascii="Calibri" w:hAnsi="Calibri"/>
          <w:b/>
          <w:i/>
          <w:color w:val="2E5AAC"/>
          <w:sz w:val="19"/>
        </w:rPr>
        <w:t>Platform, Enterprise Data &amp; AI</w:t>
      </w:r>
    </w:p>
    <w:p>
      <w:pPr>
        <w:pStyle w:val="ListBullet"/>
        <w:spacing w:after="60" w:before="0" w:line="278" w:lineRule="auto"/>
      </w:pPr>
      <w:r>
        <w:rPr>
          <w:rFonts w:ascii="Calibri" w:hAnsi="Calibri"/>
          <w:b w:val="0"/>
          <w:i w:val="0"/>
          <w:sz w:val="19"/>
        </w:rPr>
        <w:t>Re-architected the sign-up → demo → enrolment funnel (single-step OTP, preference-ranking model, 6 API-integrated payment gateways) reducing drop-off across sign-up, payment, and enrolment.</w:t>
      </w:r>
    </w:p>
    <w:p>
      <w:pPr>
        <w:pStyle w:val="ListBullet"/>
        <w:spacing w:after="60" w:before="0" w:line="278" w:lineRule="auto"/>
      </w:pPr>
      <w:r>
        <w:rPr>
          <w:rFonts w:ascii="Calibri" w:hAnsi="Calibri"/>
          <w:b w:val="0"/>
          <w:i w:val="0"/>
          <w:sz w:val="19"/>
        </w:rPr>
        <w:t>Managed enterprise data flows across a centralized CRM, UTM/cookie-based attribution, and Power BI dashboards (sourced from Metabase SQL) — giving marketing, sales, and operations cross-functional visibility; shipped a production GenAI layer and CRM revamp that cut sales-ops workload 80%.</w:t>
      </w:r>
    </w:p>
    <w:p>
      <w:pPr>
        <w:spacing w:before="140" w:after="60"/>
        <w:pBdr>
          <w:bottom w:val="single" w:sz="6" w:space="1" w:color="2E5AAC"/>
        </w:pBdr>
      </w:pPr>
      <w:r>
        <w:rPr>
          <w:rFonts w:ascii="Calibri" w:hAnsi="Calibri"/>
          <w:b/>
          <w:color w:val="1F3864"/>
          <w:sz w:val="22"/>
        </w:rPr>
        <w:t>CORE COMPETENCIES</w:t>
      </w:r>
    </w:p>
    <w:p>
      <w:pPr>
        <w:spacing w:after="60"/>
      </w:pPr>
      <w:r>
        <w:rPr>
          <w:rFonts w:ascii="Calibri" w:hAnsi="Calibri"/>
          <w:b w:val="0"/>
          <w:i w:val="0"/>
          <w:sz w:val="19"/>
        </w:rPr>
        <w:t>Capability &amp; Product Strategy · Product Vision, Lifecycle &amp; Roadmap · KPI Definition &amp; Portfolio Decisions · Business Case &amp; Unit Economics · Operational Readiness · Cross-Functional &amp; Cross-Enterprise Delivery · Product Adoption · Market &amp; Customer Insights · Stakeholder Management &amp; Influence Without Authority · Risk Mitigation · Enterprise Data &amp; Reporting Flows · Strategic Thinking</w:t>
      </w:r>
    </w:p>
    <w:p>
      <w:pPr>
        <w:spacing w:before="140" w:after="60"/>
        <w:pBdr>
          <w:bottom w:val="single" w:sz="6" w:space="1" w:color="2E5AAC"/>
        </w:pBdr>
      </w:pPr>
      <w:r>
        <w:rPr>
          <w:rFonts w:ascii="Calibri" w:hAnsi="Calibri"/>
          <w:b/>
          <w:color w:val="1F3864"/>
          <w:sz w:val="22"/>
        </w:rPr>
        <w:t>TECHNICAL SKILLS &amp; TOOLS</w:t>
      </w:r>
    </w:p>
    <w:p>
      <w:pPr>
        <w:pStyle w:val="ListBullet"/>
        <w:spacing w:after="60" w:before="0" w:line="278" w:lineRule="auto"/>
      </w:pPr>
      <w:r>
        <w:rPr>
          <w:rFonts w:ascii="Calibri" w:hAnsi="Calibri"/>
          <w:b/>
          <w:i w:val="0"/>
          <w:sz w:val="19"/>
        </w:rPr>
        <w:t xml:space="preserve">Strategy &amp; Delivery: </w:t>
      </w:r>
      <w:r>
        <w:rPr>
          <w:rFonts w:ascii="Calibri" w:hAnsi="Calibri"/>
          <w:b w:val="0"/>
          <w:i w:val="0"/>
          <w:sz w:val="19"/>
        </w:rPr>
        <w:t>Capability/product strategy, roadmap, lifecycle, KPIs, business cases, RICE prioritization, Agile/Scrum</w:t>
      </w:r>
    </w:p>
    <w:p>
      <w:pPr>
        <w:pStyle w:val="ListBullet"/>
        <w:spacing w:after="60" w:before="0" w:line="278" w:lineRule="auto"/>
      </w:pPr>
      <w:r>
        <w:rPr>
          <w:rFonts w:ascii="Calibri" w:hAnsi="Calibri"/>
          <w:b/>
          <w:i w:val="0"/>
          <w:sz w:val="19"/>
        </w:rPr>
        <w:t xml:space="preserve">Data &amp; Analytics: </w:t>
      </w:r>
      <w:r>
        <w:rPr>
          <w:rFonts w:ascii="Calibri" w:hAnsi="Calibri"/>
          <w:b w:val="0"/>
          <w:i w:val="0"/>
          <w:sz w:val="19"/>
        </w:rPr>
        <w:t>SQL, Power BI (from Metabase), GA4, MS Excel (Advanced), Python (basic)</w:t>
      </w:r>
    </w:p>
    <w:p>
      <w:pPr>
        <w:pStyle w:val="ListBullet"/>
        <w:spacing w:after="60" w:before="0" w:line="278" w:lineRule="auto"/>
      </w:pPr>
      <w:r>
        <w:rPr>
          <w:rFonts w:ascii="Calibri" w:hAnsi="Calibri"/>
          <w:b/>
          <w:i w:val="0"/>
          <w:sz w:val="19"/>
        </w:rPr>
        <w:t xml:space="preserve">AI &amp; Integration: </w:t>
      </w:r>
      <w:r>
        <w:rPr>
          <w:rFonts w:ascii="Calibri" w:hAnsi="Calibri"/>
          <w:b w:val="0"/>
          <w:i w:val="0"/>
          <w:sz w:val="19"/>
        </w:rPr>
        <w:t>OpenAI / Gemini / Claude APIs, Prompt Engineering, REST APIs, NLP use-cases</w:t>
      </w:r>
    </w:p>
    <w:p>
      <w:pPr>
        <w:pStyle w:val="ListBullet"/>
        <w:spacing w:after="60" w:before="0" w:line="278" w:lineRule="auto"/>
      </w:pPr>
      <w:r>
        <w:rPr>
          <w:rFonts w:ascii="Calibri" w:hAnsi="Calibri"/>
          <w:b/>
          <w:i w:val="0"/>
          <w:sz w:val="19"/>
        </w:rPr>
        <w:t xml:space="preserve">Design &amp; Prototyping: </w:t>
      </w:r>
      <w:r>
        <w:rPr>
          <w:rFonts w:ascii="Calibri" w:hAnsi="Calibri"/>
          <w:b w:val="0"/>
          <w:i w:val="0"/>
          <w:sz w:val="19"/>
        </w:rPr>
        <w:t>Figma, Adobe Express, Canva AI, wireframing, clickable prototypes</w:t>
      </w:r>
    </w:p>
    <w:p>
      <w:pPr>
        <w:spacing w:before="140" w:after="60"/>
        <w:pBdr>
          <w:bottom w:val="single" w:sz="6" w:space="1" w:color="2E5AAC"/>
        </w:pBdr>
      </w:pPr>
      <w:r>
        <w:rPr>
          <w:rFonts w:ascii="Calibri" w:hAnsi="Calibri"/>
          <w:b/>
          <w:color w:val="1F3864"/>
          <w:sz w:val="22"/>
        </w:rPr>
        <w:t>EDUCATION</w:t>
      </w:r>
    </w:p>
    <w:p>
      <w:pPr>
        <w:tabs>
          <w:tab w:pos="10546" w:val="right"/>
        </w:tabs>
        <w:spacing w:after="60"/>
      </w:pPr>
      <w:r>
        <w:rPr>
          <w:rFonts w:ascii="Calibri" w:hAnsi="Calibri"/>
          <w:b/>
          <w:i w:val="0"/>
          <w:sz w:val="19"/>
        </w:rPr>
        <w:t>BBA — Chandigarh University, Chandigarh</w:t>
      </w:r>
      <w:r>
        <w:rPr>
          <w:rFonts w:ascii="Calibri" w:hAnsi="Calibri"/>
          <w:b w:val="0"/>
          <w:i w:val="0"/>
          <w:color w:val="444444"/>
          <w:sz w:val="19"/>
        </w:rPr>
        <w:tab/>
        <w:t>2019 – 2021</w:t>
      </w:r>
    </w:p>
    <w:p>
      <w:pPr>
        <w:tabs>
          <w:tab w:pos="10546" w:val="right"/>
        </w:tabs>
        <w:spacing w:after="60"/>
      </w:pPr>
      <w:r>
        <w:rPr>
          <w:rFonts w:ascii="Calibri" w:hAnsi="Calibri"/>
          <w:b/>
          <w:i w:val="0"/>
          <w:sz w:val="19"/>
        </w:rPr>
        <w:t>Class XII (ISC), St. Thomas High School, Kanpur</w:t>
      </w:r>
      <w:r>
        <w:rPr>
          <w:rFonts w:ascii="Calibri" w:hAnsi="Calibri"/>
          <w:b w:val="0"/>
          <w:i w:val="0"/>
          <w:color w:val="444444"/>
          <w:sz w:val="19"/>
        </w:rPr>
        <w:tab/>
        <w:t>2018</w:t>
      </w:r>
    </w:p>
    <w:p>
      <w:pPr>
        <w:spacing w:before="140" w:after="60"/>
        <w:pBdr>
          <w:bottom w:val="single" w:sz="6" w:space="1" w:color="2E5AAC"/>
        </w:pBdr>
      </w:pPr>
      <w:r>
        <w:rPr>
          <w:rFonts w:ascii="Calibri" w:hAnsi="Calibri"/>
          <w:b/>
          <w:color w:val="1F3864"/>
          <w:sz w:val="22"/>
        </w:rPr>
        <w:t>CERTIFICATIONS</w:t>
      </w:r>
    </w:p>
    <w:p>
      <w:pPr>
        <w:pStyle w:val="ListBullet"/>
        <w:spacing w:after="60" w:before="0" w:line="278" w:lineRule="auto"/>
      </w:pPr>
      <w:r>
        <w:rPr>
          <w:rFonts w:ascii="Calibri" w:hAnsi="Calibri"/>
          <w:b w:val="0"/>
          <w:i w:val="0"/>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78"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before="0" w:line="278"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