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B2C Consumer Apps  |  Growth &amp; Monetization  |  Two-Sided Platforms  |  AI-Enabled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>Gurugram, India  •  +91 8756972501  •  kshitizyadav788@gmail.com  •  linkedin.com/in/kshitizyadav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Manager with 5+ years owning the full B2C product lifecycle across a consumer app, a two-sided student/teacher LMS, a sales CRM, and a product-led growth &amp; renewal engine at a high-growth EdTech startup. Consistent record of moving core metrics — 20% revenue growth, 25% ARPU expansion, ₹70L in product-led renewals, and 2,000+ organic leads/month at 7% conversion. Pairs monetization and unit-economics thinking with hands-on data analysis (SQL, GA4), A/B testing, and shipping production GenAI features; works across engineering, design, marketing, sales, and operations.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1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19"/>
        </w:rPr>
        <w:tab/>
        <w:t>Gurugram · Mar 2021 – Present</w:t>
      </w:r>
    </w:p>
    <w:p>
      <w:pPr>
        <w:spacing w:after="20"/>
      </w:pPr>
      <w:r>
        <w:rPr>
          <w:rFonts w:ascii="Calibri" w:hAnsi="Calibri"/>
          <w:b w:val="0"/>
          <w:i/>
          <w:color w:val="333333"/>
          <w:sz w:val="19"/>
        </w:rPr>
        <w:t>Own the full product suite of a B2C EdTech startup: consumer app, student &amp; teacher LMS, sales CRM, product-led growth &amp; renewal engine, and an in-house AI layer.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Growth &amp; Monetization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the LPP (Learn, Practice, Perform) module — customized 1:1 sessions, group activities, and performance tasks — driving 20% revenue growth, 25% ARPU expansion (₹35K → ₹45K), and 50% higher revenue per class (₹600 → ₹900).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an in-product renewal engine (nudges, early-bird access, LMS free-trial classes, teacher-initiated renewals) that lowered sales cost and generated ₹70L in renewals in a single month (Jan 2025).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Launched organic acquisition loops surfacing student progress (Sparkline, Word Wisdom, practice classes, workshops) across social channels, bringing 2,000+ organic leads/month at a 7% conversion rate.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Funnel &amp; Platform (0→1)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Re-architected the sign-up → demo → enrolment funnel: single-step OTP sign-in (replacing a two-step create-then-login flow), a preference-capture ranking model that surfaces best-fit courses during the counselor VC, 6 API-integrated payment gateways with pre-filled links, and auto-cleared parent-approval on payment — reducing drop-off across the sign-up, payment, and enrolment stages.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Led the 0→1 launch of the consumer app MVP in 2 months (Feb–Mar 2024: ~1% organic revenue, +10% engagement); built the Student LMS (live classes, feedback reports, PTMs, in-house meeting room), raising course completion 15% and improving NPS.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AI, Design &amp; Automation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prototypes and MVP interfaces for the app, LMS, and CRM in Figma, Adobe Express, and Canva AI — using Gemini, Claude, ChatGPT, and Codex to accelerate iteration into clickable flows that aligned engineering and stakeholders before build.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Shipped a production GenAI layer (speech/text learning with contextual, age-appropriate responses) and a support chatbot that cut escalations; revamped the Sales CRM (lead navigation, integrated calling, revenue tracking, target-vs-achievement, incentive management), cutting sales-ops workload 80%.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Automated incentive flows and enrolment verification (100% coverage), saving ₹1.6L/month and eliminating fake-revenue reporting.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Strategy &amp; Roadmapping · Monetization &amp; Unit Economics · Retention &amp; Lifecycle · Funnel &amp; Conversion Optimization · Product Design &amp; Prototyping · A/B Testing &amp; Experimentation · GTM &amp; North-Star Metrics · B2C &amp; Two-Sided Platforms · GenAI Product Development · Stakeholder Management · User Research · Agile/Scrum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Data &amp; Analytics: </w:t>
      </w:r>
      <w:r>
        <w:rPr>
          <w:rFonts w:ascii="Calibri" w:hAnsi="Calibri"/>
          <w:b w:val="0"/>
          <w:i w:val="0"/>
          <w:sz w:val="19"/>
        </w:rPr>
        <w:t>SQL, GA4, MS Excel (Advanced), Python (basic)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Design &amp; Prototyping: </w:t>
      </w:r>
      <w:r>
        <w:rPr>
          <w:rFonts w:ascii="Calibri" w:hAnsi="Calibri"/>
          <w:b w:val="0"/>
          <w:i w:val="0"/>
          <w:sz w:val="19"/>
        </w:rPr>
        <w:t>Figma, Adobe Express, Canva AI, wireframing, clickable prototypes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JIRA, Confluence, Agile/Scrum, RICE prioritization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AI &amp; Integration: </w:t>
      </w:r>
      <w:r>
        <w:rPr>
          <w:rFonts w:ascii="Calibri" w:hAnsi="Calibri"/>
          <w:b w:val="0"/>
          <w:i w:val="0"/>
          <w:sz w:val="19"/>
        </w:rPr>
        <w:t>OpenAI / Gemini / Claude APIs, Prompt Engineering, REST APIs, NLP use-cases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2019 – 2021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 w:val="0"/>
          <w:i w:val="0"/>
          <w:sz w:val="19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19"/>
        </w:rPr>
        <w:tab/>
        <w:t>2018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CERTIFICATIONS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