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— Consumer EdTech / Learning Apps  |  AI-First Features (Recommendations, Conversational Tutors, GenAI)  |  Hyper-Growth: Retention, Free-to-Paid &amp; Unit Economics  |  0→1, Experiments, Pod Leadership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6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building consumer EdTech / learning-content products at a high-growth startup — 0→1 and scaling. Ships AI-first features (a RAG conversational assistant, GenAI learning layer, best-fit recommendations, and personalization) and owns hyper-growth metrics: user growth, engagement, retention, and free-to-paid conversion, with unit-economics / LTV:CAC visibility. Runs experiments (A/B testing, hypothesis-driven), leads cross-functional pods (8 engineers + 2 QA), and works directly with leadership. Mobile-first. Delivered 20% revenue growth, ₹70L in product-led renewals, and lifted the 5/5 rating share from 10% to 25%.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Consumer EdTech / Learning &amp; Content Products · AI-First Features (Recommendations, Personalization, Conversational Tutors/RAG, GenAI) · NLP / LLM Applications · Product Roadmap · Zero-to-One (0→1) &amp; Scaling · Hyper-Growth Metrics (User Growth, Engagement, Retention) · Free-to-Paid Conversion · Product-Led Growth, CAC &amp; LTV · Unit Economics &amp; LTV:CAC · Experiments at Scale (A/B Testing, Hypothesis-Driven) · Matching / Ranking &amp; Discovery · Cross-Functional Pod Leadership (Engineering, Design, Analytics, Growth, Content) · Strong Data &amp; SQL · Mobile-First (iOS/Android) · Product Management · Extreme Ownership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Shipped a production GenAI learning layer (age-appropriate speech/text responses) and a RAG-based support chatbot — cutting first-response time from 4 minutes to under 10 seconds and monthly escalations from ~300 to under 50 within three months.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Increased the share of enrolled users rating the product 5 out of 5 from 10% to 25% via onboarding and retention work: seamless onboarding, teacher PTMs and feedback, a one-page student-detail UI, a loyalty program, and the PSpark in-app wallet.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an advisor-wise P&amp;L tracker (weekly Net Revenue − Fixed, Refund, Marketing &amp; Sales cost) whose visibility drove profitability interventions — profitable advisors rose from 50 to 100 in one month and to 125 over the next two.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AI/ML &amp; Product: </w:t>
      </w:r>
      <w:r>
        <w:rPr>
          <w:rFonts w:ascii="Calibri" w:hAnsi="Calibri"/>
          <w:b w:val="0"/>
          <w:i w:val="0"/>
          <w:sz w:val="19"/>
        </w:rPr>
        <w:t>GenAI, RAG conversational assistant, recommendations/personalization, LLM APIs (Claude/OpenAI/Gemini), Claude Code, Prompt Engineering, NLP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Growth &amp; Data: </w:t>
      </w:r>
      <w:r>
        <w:rPr>
          <w:rFonts w:ascii="Calibri" w:hAnsi="Calibri"/>
          <w:b w:val="0"/>
          <w:i w:val="0"/>
          <w:sz w:val="19"/>
        </w:rPr>
        <w:t>SQL, GA4, Power BI, A/B testing/experiments, retention/conversion/CAC/LTV, unit economics, statistics, MS Excel (Advanced)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Delivery &amp; Mobile: </w:t>
      </w:r>
      <w:r>
        <w:rPr>
          <w:rFonts w:ascii="Calibri" w:hAnsi="Calibri"/>
          <w:b w:val="0"/>
          <w:i w:val="0"/>
          <w:sz w:val="19"/>
        </w:rPr>
        <w:t>0→1 &amp; scaling, mobile-first (iOS/Android) app, PRDs, RICE prioritization, JIRA, Confluence, Agile/Scrum, Figma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