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5"/>
        </w:rPr>
        <w:t>KSHITIZ YADAV</w:t>
      </w:r>
    </w:p>
    <w:p>
      <w:pPr>
        <w:spacing w:after="0"/>
        <w:jc w:val="center"/>
      </w:pPr>
      <w:r>
        <w:rPr>
          <w:rFonts w:ascii="Calibri" w:hAnsi="Calibri"/>
          <w:b w:val="0"/>
          <w:i w:val="0"/>
          <w:color w:val="444444"/>
          <w:sz w:val="20"/>
        </w:rPr>
        <w:t>Product Manager  |  Operations &amp; Workflow Products · Reporting &amp; Analytics  |  Business Process Transformation &amp; Change Management  |  Internal Platforms, Automation &amp; KPIs  |  Cross-Functional</w:t>
      </w:r>
    </w:p>
    <w:p>
      <w:pPr>
        <w:spacing w:after="60"/>
        <w:jc w:val="center"/>
      </w:pPr>
      <w:r>
        <w:rPr>
          <w:rFonts w:ascii="Calibri" w:hAnsi="Calibri"/>
          <w:b w:val="0"/>
          <w:i w:val="0"/>
          <w:color w:val="444444"/>
          <w:sz w:val="19"/>
        </w:rPr>
        <w:t>Gurugram, India  •  +91 8756972501  •  kshitizyadav788@gmail.com  •  linkedin.com/in/kshitizyadav</w:t>
      </w:r>
    </w:p>
    <w:p>
      <w:pPr>
        <w:spacing w:before="140" w:after="60"/>
        <w:pBdr>
          <w:bottom w:val="single" w:sz="6" w:space="1" w:color="2E5AAC"/>
        </w:pBdr>
      </w:pPr>
      <w:r>
        <w:rPr>
          <w:rFonts w:ascii="Calibri" w:hAnsi="Calibri"/>
          <w:b/>
          <w:color w:val="1F3864"/>
          <w:sz w:val="23"/>
        </w:rPr>
        <w:t>PROFESSIONAL SUMMARY</w:t>
      </w:r>
    </w:p>
    <w:p>
      <w:pPr>
        <w:spacing w:after="60"/>
      </w:pPr>
      <w:r>
        <w:rPr>
          <w:rFonts w:ascii="Calibri" w:hAnsi="Calibri"/>
          <w:b w:val="0"/>
          <w:i w:val="0"/>
          <w:sz w:val="20"/>
        </w:rPr>
        <w:t>Product Manager with 5+ years owning operations and workflow products end-to-end — internal platforms, process automation, and enterprise reporting. Built operational tooling and reporting (Power BI/KPIs/dashboards) that improved efficiency and visibility, transformed business processes (−80% ops workload), and drove adoption of new tools through change management, training, and communication. Sets product strategy and roadmap, partners across engineering, analytics, and business, and uses data to drive operational decisions.</w:t>
      </w:r>
    </w:p>
    <w:p>
      <w:pPr>
        <w:spacing w:before="140" w:after="60"/>
        <w:pBdr>
          <w:bottom w:val="single" w:sz="6" w:space="1" w:color="2E5AAC"/>
        </w:pBdr>
      </w:pPr>
      <w:r>
        <w:rPr>
          <w:rFonts w:ascii="Calibri" w:hAnsi="Calibri"/>
          <w:b/>
          <w:color w:val="1F3864"/>
          <w:sz w:val="23"/>
        </w:rPr>
        <w:t>PROFESSIONAL EXPERIENCE</w:t>
      </w:r>
    </w:p>
    <w:p>
      <w:pPr>
        <w:tabs>
          <w:tab w:pos="10546" w:val="right"/>
        </w:tabs>
        <w:spacing w:after="0"/>
      </w:pPr>
      <w:r>
        <w:rPr>
          <w:rFonts w:ascii="Calibri" w:hAnsi="Calibri"/>
          <w:b/>
          <w:i w:val="0"/>
          <w:sz w:val="22"/>
        </w:rPr>
        <w:t>PlanetSpark — Product Manager</w:t>
      </w:r>
      <w:r>
        <w:rPr>
          <w:rFonts w:ascii="Calibri" w:hAnsi="Calibri"/>
          <w:b w:val="0"/>
          <w:i w:val="0"/>
          <w:color w:val="444444"/>
          <w:sz w:val="20"/>
        </w:rPr>
        <w:tab/>
        <w:t>Gurugram · Mar 2021 – Present</w:t>
      </w:r>
    </w:p>
    <w:p>
      <w:pPr>
        <w:spacing w:after="60"/>
      </w:pPr>
      <w:r>
        <w:rPr>
          <w:rFonts w:ascii="Calibri" w:hAnsi="Calibri"/>
          <w:b w:val="0"/>
          <w:i/>
          <w:color w:val="333333"/>
          <w:sz w:val="20"/>
        </w:rPr>
        <w:t>Own the full product suite of a consumer marketplace (shared LMS connecting students and teachers) — including its internal operations platforms (sales CRM, workflow automation, scheduling/ops tooling) and enterprise reporting — partnering across engineering, analytics, operations, and business stakeholders.</w:t>
      </w:r>
    </w:p>
    <w:p>
      <w:pPr>
        <w:spacing w:before="80" w:after="0"/>
      </w:pPr>
      <w:r>
        <w:rPr>
          <w:rFonts w:ascii="Calibri" w:hAnsi="Calibri"/>
          <w:b/>
          <w:i/>
          <w:color w:val="2E5AAC"/>
          <w:sz w:val="20"/>
        </w:rPr>
        <w:t>Operations &amp; Workflow Products (Internal Platforms)</w:t>
      </w:r>
    </w:p>
    <w:p>
      <w:pPr>
        <w:pStyle w:val="ListBullet"/>
        <w:spacing w:after="60" w:before="0" w:line="269" w:lineRule="auto"/>
      </w:pPr>
      <w:r>
        <w:rPr>
          <w:rFonts w:ascii="Calibri" w:hAnsi="Calibri"/>
          <w:b w:val="0"/>
          <w:i w:val="0"/>
          <w:sz w:val="20"/>
        </w:rPr>
        <w:t>Built and revamped internal operational platforms 0→1 — a Sales CRM (lead workflows, integrated calling, targets, incentives) and an in-house video-call platform (replacing a vendor) — and automated core business processes (enrolment verification, incentive flows, back-office 'punching' from 100% → 5% manual), cutting operational workload 80% and saving ₹1.6L/month.</w:t>
      </w:r>
    </w:p>
    <w:p>
      <w:pPr>
        <w:pStyle w:val="ListBullet"/>
        <w:spacing w:after="60" w:before="0" w:line="269" w:lineRule="auto"/>
      </w:pPr>
      <w:r>
        <w:rPr>
          <w:rFonts w:ascii="Calibri" w:hAnsi="Calibri"/>
          <w:b w:val="0"/>
          <w:i w:val="0"/>
          <w:sz w:val="20"/>
        </w:rPr>
        <w:t>Built teacher-side operational tooling — class scheduling &amp; live-class tracking (on-time starts), demo→enrolment analytics, and automated payouts — improving studio-style operational consistency and efficiency across the supply side.</w:t>
      </w:r>
    </w:p>
    <w:p>
      <w:pPr>
        <w:spacing w:before="80" w:after="0"/>
      </w:pPr>
      <w:r>
        <w:rPr>
          <w:rFonts w:ascii="Calibri" w:hAnsi="Calibri"/>
          <w:b/>
          <w:i/>
          <w:color w:val="2E5AAC"/>
          <w:sz w:val="20"/>
        </w:rPr>
        <w:t>Reporting, KPIs &amp; Data-Driven Decisions</w:t>
      </w:r>
    </w:p>
    <w:p>
      <w:pPr>
        <w:pStyle w:val="ListBullet"/>
        <w:spacing w:after="60" w:before="0" w:line="269" w:lineRule="auto"/>
      </w:pPr>
      <w:r>
        <w:rPr>
          <w:rFonts w:ascii="Calibri" w:hAnsi="Calibri"/>
          <w:b w:val="0"/>
          <w:i w:val="0"/>
          <w:sz w:val="20"/>
        </w:rPr>
        <w:t>Defined and built enterprise reporting: Power BI dashboards sourced from Metabase SQL for Marketing, Sales, and Operations — establishing KPIs, reporting standards, and operational visibility that drove cross-functional decision-making.</w:t>
      </w:r>
    </w:p>
    <w:p>
      <w:pPr>
        <w:pStyle w:val="ListBullet"/>
        <w:spacing w:after="60" w:before="0" w:line="269" w:lineRule="auto"/>
      </w:pPr>
      <w:r>
        <w:rPr>
          <w:rFonts w:ascii="Calibri" w:hAnsi="Calibri"/>
          <w:b w:val="0"/>
          <w:i w:val="0"/>
          <w:sz w:val="20"/>
        </w:rPr>
        <w:t>Built a counselor-wise P&amp;L tracker computing weekly profitability and unit economics per counselor — a performance-metrics tool that put operational and financial visibility in the hands of the front line.</w:t>
      </w:r>
    </w:p>
    <w:p>
      <w:pPr>
        <w:spacing w:before="80" w:after="0"/>
      </w:pPr>
      <w:r>
        <w:rPr>
          <w:rFonts w:ascii="Calibri" w:hAnsi="Calibri"/>
          <w:b/>
          <w:i/>
          <w:color w:val="2E5AAC"/>
          <w:sz w:val="20"/>
        </w:rPr>
        <w:t>Process Transformation, Change Management &amp; Strategy</w:t>
      </w:r>
    </w:p>
    <w:p>
      <w:pPr>
        <w:pStyle w:val="ListBullet"/>
        <w:spacing w:after="60" w:before="0" w:line="269" w:lineRule="auto"/>
      </w:pPr>
      <w:r>
        <w:rPr>
          <w:rFonts w:ascii="Calibri" w:hAnsi="Calibri"/>
          <w:b w:val="0"/>
          <w:i w:val="0"/>
          <w:sz w:val="20"/>
        </w:rPr>
        <w:t>Led business-process transformation and drove organizational adoption of new tools and workflows through training, documentation, and communication — the change-management side of shipping internal platforms.</w:t>
      </w:r>
    </w:p>
    <w:p>
      <w:pPr>
        <w:pStyle w:val="ListBullet"/>
        <w:spacing w:after="60" w:before="0" w:line="269" w:lineRule="auto"/>
      </w:pPr>
      <w:r>
        <w:rPr>
          <w:rFonts w:ascii="Calibri" w:hAnsi="Calibri"/>
          <w:b w:val="0"/>
          <w:i w:val="0"/>
          <w:sz w:val="20"/>
        </w:rPr>
        <w:t>Set product strategy and roadmap and translated business challenges into technology-enabled solutions; also drove 20% revenue growth and ₹70L in product-led renewals on the consumer side.</w:t>
      </w:r>
    </w:p>
    <w:p>
      <w:pPr>
        <w:spacing w:before="140" w:after="60"/>
        <w:pBdr>
          <w:bottom w:val="single" w:sz="6" w:space="1" w:color="2E5AAC"/>
        </w:pBdr>
      </w:pPr>
      <w:r>
        <w:rPr>
          <w:rFonts w:ascii="Calibri" w:hAnsi="Calibri"/>
          <w:b/>
          <w:color w:val="1F3864"/>
          <w:sz w:val="23"/>
        </w:rPr>
        <w:t>CORE COMPETENCIES</w:t>
      </w:r>
    </w:p>
    <w:p>
      <w:pPr>
        <w:spacing w:after="60"/>
      </w:pPr>
      <w:r>
        <w:rPr>
          <w:rFonts w:ascii="Calibri" w:hAnsi="Calibri"/>
          <w:b w:val="0"/>
          <w:i w:val="0"/>
          <w:sz w:val="20"/>
        </w:rPr>
        <w:t>Operations &amp; Workflow Product Management · Product Strategy, Roadmap &amp; Prioritization · Operational Platforms &amp; Enterprise Workflow Systems · Scheduling &amp; Operational Process Automation · Scalable Operational Models · Business Process Transformation &amp; Operational Efficiency · Reporting Strategy, KPIs &amp; Dashboards · Data-Driven Decision-Making · Product Requirements, User Stories &amp; Success Metrics · Change Management &amp; Enablement (Training, Documentation, Tool Adoption) · Cross-Functional Collaboration (Engineering, Operations, Analytics, Design) · Stakeholder Leadership &amp; Influence · Operational Visibility &amp; Reporting Standards</w:t>
      </w:r>
    </w:p>
    <w:p>
      <w:pPr>
        <w:spacing w:before="140" w:after="60"/>
        <w:pBdr>
          <w:bottom w:val="single" w:sz="6" w:space="1" w:color="2E5AAC"/>
        </w:pBdr>
      </w:pPr>
      <w:r>
        <w:rPr>
          <w:rFonts w:ascii="Calibri" w:hAnsi="Calibri"/>
          <w:b/>
          <w:color w:val="1F3864"/>
          <w:sz w:val="23"/>
        </w:rPr>
        <w:t>TECHNICAL SKILLS &amp; TOOLS</w:t>
      </w:r>
    </w:p>
    <w:p>
      <w:pPr>
        <w:pStyle w:val="ListBullet"/>
        <w:spacing w:after="60" w:before="0" w:line="269" w:lineRule="auto"/>
      </w:pPr>
      <w:r>
        <w:rPr>
          <w:rFonts w:ascii="Calibri" w:hAnsi="Calibri"/>
          <w:b/>
          <w:i w:val="0"/>
          <w:sz w:val="20"/>
        </w:rPr>
        <w:t xml:space="preserve">Reporting &amp; Data: </w:t>
      </w:r>
      <w:r>
        <w:rPr>
          <w:rFonts w:ascii="Calibri" w:hAnsi="Calibri"/>
          <w:b w:val="0"/>
          <w:i w:val="0"/>
          <w:sz w:val="20"/>
        </w:rPr>
        <w:t>Power BI, Metabase, SQL, GA4, KPIs &amp; dashboards, A/B testing, MS Excel (Advanced), Python (basic)</w:t>
      </w:r>
    </w:p>
    <w:p>
      <w:pPr>
        <w:pStyle w:val="ListBullet"/>
        <w:spacing w:after="60" w:before="0" w:line="269" w:lineRule="auto"/>
      </w:pPr>
      <w:r>
        <w:rPr>
          <w:rFonts w:ascii="Calibri" w:hAnsi="Calibri"/>
          <w:b/>
          <w:i w:val="0"/>
          <w:sz w:val="20"/>
        </w:rPr>
        <w:t xml:space="preserve">Operations &amp; Delivery: </w:t>
      </w:r>
      <w:r>
        <w:rPr>
          <w:rFonts w:ascii="Calibri" w:hAnsi="Calibri"/>
          <w:b w:val="0"/>
          <w:i w:val="0"/>
          <w:sz w:val="20"/>
        </w:rPr>
        <w:t>Workflow automation, operational platforms, process transformation, change management, PRDs, user stories, JIRA, Confluence, Agile/Scrum</w:t>
      </w:r>
    </w:p>
    <w:p>
      <w:pPr>
        <w:pStyle w:val="ListBullet"/>
        <w:spacing w:after="60" w:before="0" w:line="269" w:lineRule="auto"/>
      </w:pPr>
      <w:r>
        <w:rPr>
          <w:rFonts w:ascii="Calibri" w:hAnsi="Calibri"/>
          <w:b/>
          <w:i w:val="0"/>
          <w:sz w:val="20"/>
        </w:rPr>
        <w:t xml:space="preserve">Product &amp; Strategy: </w:t>
      </w:r>
      <w:r>
        <w:rPr>
          <w:rFonts w:ascii="Calibri" w:hAnsi="Calibri"/>
          <w:b w:val="0"/>
          <w:i w:val="0"/>
          <w:sz w:val="20"/>
        </w:rPr>
        <w:t>Product strategy, roadmap, prioritization (RICE), success metrics, stakeholder management</w:t>
      </w:r>
    </w:p>
    <w:p>
      <w:pPr>
        <w:pStyle w:val="ListBullet"/>
        <w:spacing w:after="60" w:before="0" w:line="269" w:lineRule="auto"/>
      </w:pPr>
      <w:r>
        <w:rPr>
          <w:rFonts w:ascii="Calibri" w:hAnsi="Calibri"/>
          <w:b/>
          <w:i w:val="0"/>
          <w:sz w:val="20"/>
        </w:rPr>
        <w:t xml:space="preserve">AI &amp; Prototyping: </w:t>
      </w:r>
      <w:r>
        <w:rPr>
          <w:rFonts w:ascii="Calibri" w:hAnsi="Calibri"/>
          <w:b w:val="0"/>
          <w:i w:val="0"/>
          <w:sz w:val="20"/>
        </w:rPr>
        <w:t>OpenAI / Gemini / Claude APIs, Prompt Engineering; Figma, wireframing, clickable prototypes</w:t>
      </w:r>
    </w:p>
    <w:p>
      <w:pPr>
        <w:spacing w:before="140" w:after="60"/>
        <w:pBdr>
          <w:bottom w:val="single" w:sz="6" w:space="1" w:color="2E5AAC"/>
        </w:pBdr>
      </w:pPr>
      <w:r>
        <w:rPr>
          <w:rFonts w:ascii="Calibri" w:hAnsi="Calibri"/>
          <w:b/>
          <w:color w:val="1F3864"/>
          <w:sz w:val="23"/>
        </w:rPr>
        <w:t>EDUCATION</w:t>
      </w:r>
    </w:p>
    <w:p>
      <w:pPr>
        <w:tabs>
          <w:tab w:pos="10546" w:val="right"/>
        </w:tabs>
        <w:spacing w:after="60"/>
      </w:pPr>
      <w:r>
        <w:rPr>
          <w:rFonts w:ascii="Calibri" w:hAnsi="Calibri"/>
          <w:b/>
          <w:i w:val="0"/>
          <w:sz w:val="20"/>
        </w:rPr>
        <w:t>BBA — Chandigarh University, Chandigarh</w:t>
      </w:r>
      <w:r>
        <w:rPr>
          <w:rFonts w:ascii="Calibri" w:hAnsi="Calibri"/>
          <w:b w:val="0"/>
          <w:i w:val="0"/>
          <w:color w:val="444444"/>
          <w:sz w:val="20"/>
        </w:rPr>
        <w:tab/>
        <w:t>2019 – 2021</w:t>
      </w:r>
    </w:p>
    <w:p>
      <w:pPr>
        <w:tabs>
          <w:tab w:pos="10546" w:val="right"/>
        </w:tabs>
        <w:spacing w:after="60"/>
      </w:pPr>
      <w:r>
        <w:rPr>
          <w:rFonts w:ascii="Calibri" w:hAnsi="Calibri"/>
          <w:b/>
          <w:i w:val="0"/>
          <w:sz w:val="20"/>
        </w:rPr>
        <w:t>Class XII (ISC), St. Thomas High School, Kanpur</w:t>
      </w:r>
      <w:r>
        <w:rPr>
          <w:rFonts w:ascii="Calibri" w:hAnsi="Calibri"/>
          <w:b w:val="0"/>
          <w:i w:val="0"/>
          <w:color w:val="444444"/>
          <w:sz w:val="20"/>
        </w:rPr>
        <w:tab/>
        <w:t>2018</w:t>
      </w:r>
    </w:p>
    <w:p>
      <w:pPr>
        <w:spacing w:before="140" w:after="60"/>
        <w:pBdr>
          <w:bottom w:val="single" w:sz="6" w:space="1" w:color="2E5AAC"/>
        </w:pBdr>
      </w:pPr>
      <w:r>
        <w:rPr>
          <w:rFonts w:ascii="Calibri" w:hAnsi="Calibri"/>
          <w:b/>
          <w:color w:val="1F3864"/>
          <w:sz w:val="23"/>
        </w:rPr>
        <w:t>CERTIFICATIONS</w:t>
      </w:r>
    </w:p>
    <w:p>
      <w:pPr>
        <w:pStyle w:val="ListBullet"/>
        <w:spacing w:after="60" w:before="0" w:line="269" w:lineRule="auto"/>
      </w:pPr>
      <w:r>
        <w:rPr>
          <w:rFonts w:ascii="Calibri" w:hAnsi="Calibri"/>
          <w:b w:val="0"/>
          <w:i w:val="0"/>
          <w:sz w:val="20"/>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before="0" w:line="269"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