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EdTech Learning Experience &amp; Pedagogy  |  Live-Class Marketplace, Retention &amp; NPS  |  Data-Driven Experimentation</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70"/>
        <w:jc w:val="center"/>
      </w:pPr>
      <w:r>
        <w:rPr>
          <w:rFonts w:ascii="Calibri" w:hAnsi="Calibri"/>
          <w:b/>
          <w:i w:val="0"/>
          <w:color w:val="2E5AAC"/>
          <w:sz w:val="18"/>
        </w:rPr>
        <w:t>20% Revenue Growth   •   25% ARPU Expansion (₹35K → ₹45K)   •   ₹70L Renewals in a Single Month   •   80% Lower Ops Workload</w:t>
      </w:r>
    </w:p>
    <w:p>
      <w:pPr>
        <w:spacing w:before="150" w:after="60"/>
        <w:pBdr>
          <w:bottom w:val="single" w:sz="6" w:space="1" w:color="2E5AAC"/>
        </w:pBdr>
      </w:pPr>
      <w:r>
        <w:rPr>
          <w:rFonts w:ascii="Calibri" w:hAnsi="Calibri"/>
          <w:b/>
          <w:color w:val="1F3864"/>
          <w:sz w:val="22"/>
        </w:rPr>
        <w:t>PROFESSIONAL SUMMARY</w:t>
      </w:r>
    </w:p>
    <w:p>
      <w:pPr>
        <w:spacing w:after="70"/>
      </w:pPr>
      <w:r>
        <w:rPr>
          <w:rFonts w:ascii="Calibri" w:hAnsi="Calibri"/>
          <w:b w:val="0"/>
          <w:i w:val="0"/>
          <w:sz w:val="19"/>
        </w:rPr>
        <w:t>EdTech Product Manager with 5+ years owning the end-to-end learning experience for a live-class marketplace serving 150,000+ students and 30,000+ daily actives. Defined pedagogy and the learning journey (pre-class, live class, practice, and revision), wrote the product specifications platform teams built against, and validated outcomes against clear success criteria. Drives retention, NPS, and renewal economics through personalisation, engagement loops, and nudges, and thinks in funnels and leading vs lagging indicators, shipping experiments continuously with SQL and GA4.</w:t>
      </w:r>
    </w:p>
    <w:p>
      <w:pPr>
        <w:spacing w:before="150" w:after="60"/>
        <w:pBdr>
          <w:bottom w:val="single" w:sz="6" w:space="1" w:color="2E5AAC"/>
        </w:pBdr>
      </w:pPr>
      <w:r>
        <w:rPr>
          <w:rFonts w:ascii="Calibri" w:hAnsi="Calibri"/>
          <w:b/>
          <w:color w:val="1F3864"/>
          <w:sz w:val="22"/>
        </w:rPr>
        <w:t>CORE COMPETENCIES</w:t>
      </w:r>
    </w:p>
    <w:p>
      <w:pPr>
        <w:spacing w:after="70"/>
      </w:pPr>
      <w:r>
        <w:rPr>
          <w:rFonts w:ascii="Calibri" w:hAnsi="Calibri"/>
          <w:b w:val="0"/>
          <w:i w:val="0"/>
          <w:sz w:val="19"/>
        </w:rPr>
        <w:t>Learning Experience Design · Pedagogy &amp; Learning Journey · Live-Class &amp; Marketplace Products · Product Specifications &amp; PRDs · End-to-End Product Ownership · Personalisation &amp; Engagement · Retention, NPS &amp; Renewal Economics · Funnels &amp; Experimentation · Leading &amp; Lagging Indicators · Data-Driven Decision-Making (SQL, GA4) · Growth &amp; Monetization · Cross-Functional Leadership · Product Management</w:t>
      </w:r>
    </w:p>
    <w:p>
      <w:pPr>
        <w:spacing w:before="150" w:after="6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7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8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70" w:before="0" w:line="293" w:lineRule="auto"/>
      </w:pPr>
      <w:r>
        <w:rPr>
          <w:rFonts w:ascii="Calibri" w:hAnsi="Calibri"/>
          <w:b w:val="0"/>
          <w:i w:val="0"/>
          <w:sz w:val="19"/>
        </w:rPr>
        <w:t>Increased the share of enrolled users rating the product 5 out of 5 from 10% to 25% via onboarding and retention work: seamless onboarding, teacher PTMs and feedback, a one-page student-detail UI, a loyalty program, and the PSpark in-app wallet.</w:t>
      </w:r>
    </w:p>
    <w:p>
      <w:pPr>
        <w:pStyle w:val="ListBullet"/>
        <w:spacing w:after="70" w:before="0" w:line="293"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pStyle w:val="ListBullet"/>
        <w:spacing w:after="70" w:before="0" w:line="293"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pStyle w:val="ListBullet"/>
        <w:spacing w:after="70" w:before="0" w:line="293"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pStyle w:val="ListBullet"/>
        <w:spacing w:after="70" w:before="0" w:line="293"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tabs>
          <w:tab w:pos="10546" w:val="right"/>
        </w:tabs>
        <w:spacing w:before="8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70" w:before="0" w:line="293"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70" w:before="0" w:line="293" w:lineRule="auto"/>
      </w:pPr>
      <w:r>
        <w:rPr>
          <w:rFonts w:ascii="Calibri" w:hAnsi="Calibri"/>
          <w:b w:val="0"/>
          <w:i w:val="0"/>
          <w:sz w:val="19"/>
        </w:rPr>
        <w:t>Rebuilt the teacher LMS with real-time payout automation, accurate payout summaries, and consolidated CRM and class details — lifting teacher NPS from −20 to +40.</w:t>
      </w:r>
    </w:p>
    <w:p>
      <w:pPr>
        <w:tabs>
          <w:tab w:pos="10546" w:val="right"/>
        </w:tabs>
        <w:spacing w:before="8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70" w:before="0" w:line="293"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spacing w:before="150" w:after="60"/>
        <w:pBdr>
          <w:bottom w:val="single" w:sz="6" w:space="1" w:color="2E5AAC"/>
        </w:pBdr>
      </w:pPr>
      <w:r>
        <w:rPr>
          <w:rFonts w:ascii="Calibri" w:hAnsi="Calibri"/>
          <w:b/>
          <w:color w:val="1F3864"/>
          <w:sz w:val="22"/>
        </w:rPr>
        <w:t>TECHNICAL SKILLS &amp; TOOLS</w:t>
      </w:r>
    </w:p>
    <w:p>
      <w:pPr>
        <w:pStyle w:val="ListBullet"/>
        <w:spacing w:after="70" w:before="0" w:line="293" w:lineRule="auto"/>
      </w:pPr>
      <w:r>
        <w:rPr>
          <w:rFonts w:ascii="Calibri" w:hAnsi="Calibri"/>
          <w:b/>
          <w:i w:val="0"/>
          <w:sz w:val="19"/>
        </w:rPr>
        <w:t xml:space="preserve">Data &amp; Analytics: </w:t>
      </w:r>
      <w:r>
        <w:rPr>
          <w:rFonts w:ascii="Calibri" w:hAnsi="Calibri"/>
          <w:b w:val="0"/>
          <w:i w:val="0"/>
          <w:sz w:val="19"/>
        </w:rPr>
        <w:t>SQL, GA4, Power BI, MS Excel (Advanced), Python (basic)</w:t>
      </w:r>
    </w:p>
    <w:p>
      <w:pPr>
        <w:pStyle w:val="ListBullet"/>
        <w:spacing w:after="70" w:before="0" w:line="293" w:lineRule="auto"/>
      </w:pPr>
      <w:r>
        <w:rPr>
          <w:rFonts w:ascii="Calibri" w:hAnsi="Calibri"/>
          <w:b/>
          <w:i w:val="0"/>
          <w:sz w:val="19"/>
        </w:rPr>
        <w:t xml:space="preserve">Product &amp; Delivery: </w:t>
      </w:r>
      <w:r>
        <w:rPr>
          <w:rFonts w:ascii="Calibri" w:hAnsi="Calibri"/>
          <w:b w:val="0"/>
          <w:i w:val="0"/>
          <w:sz w:val="19"/>
        </w:rPr>
        <w:t>JIRA, Confluence, Agile/Scrum, RICE prioritization, Figma</w:t>
      </w:r>
    </w:p>
    <w:p>
      <w:pPr>
        <w:pStyle w:val="ListBullet"/>
        <w:spacing w:after="70" w:before="0" w:line="293" w:lineRule="auto"/>
      </w:pPr>
      <w:r>
        <w:rPr>
          <w:rFonts w:ascii="Calibri" w:hAnsi="Calibri"/>
          <w:b/>
          <w:i w:val="0"/>
          <w:sz w:val="19"/>
        </w:rPr>
        <w:t xml:space="preserve">AI &amp; Integration: </w:t>
      </w:r>
      <w:r>
        <w:rPr>
          <w:rFonts w:ascii="Calibri" w:hAnsi="Calibri"/>
          <w:b w:val="0"/>
          <w:i w:val="0"/>
          <w:sz w:val="19"/>
        </w:rPr>
        <w:t>OpenAI / Gemini / Claude APIs, Claude Code, Prompt Engineering, RAG, REST APIs, Payment Integrations</w:t>
      </w:r>
    </w:p>
    <w:p>
      <w:pPr>
        <w:spacing w:before="150" w:after="60"/>
        <w:pBdr>
          <w:bottom w:val="single" w:sz="6" w:space="1" w:color="2E5AAC"/>
        </w:pBdr>
      </w:pPr>
      <w:r>
        <w:rPr>
          <w:rFonts w:ascii="Calibri" w:hAnsi="Calibri"/>
          <w:b/>
          <w:color w:val="1F3864"/>
          <w:sz w:val="22"/>
        </w:rPr>
        <w:t>EDUCATION &amp; CERTIFICATIONS</w:t>
      </w:r>
    </w:p>
    <w:p>
      <w:pPr>
        <w:tabs>
          <w:tab w:pos="10546" w:val="right"/>
        </w:tabs>
        <w:spacing w:after="70"/>
      </w:pPr>
      <w:r>
        <w:rPr>
          <w:rFonts w:ascii="Calibri" w:hAnsi="Calibri"/>
          <w:b/>
          <w:i w:val="0"/>
          <w:sz w:val="19"/>
        </w:rPr>
        <w:t>BBA — Chandigarh University, Chandigarh</w:t>
      </w:r>
      <w:r>
        <w:rPr>
          <w:rFonts w:ascii="Calibri" w:hAnsi="Calibri"/>
          <w:b w:val="0"/>
          <w:i w:val="0"/>
          <w:color w:val="444444"/>
          <w:sz w:val="19"/>
        </w:rPr>
        <w:tab/>
        <w:t>2018 – 2021</w:t>
      </w:r>
    </w:p>
    <w:p>
      <w:pPr>
        <w:spacing w:after="7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0" w:line="293"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before="0" w:line="293"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