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color w:val="1F3864"/>
          <w:sz w:val="34"/>
        </w:rPr>
        <w:t>KSHITIZ YADAV</w:t>
      </w:r>
    </w:p>
    <w:p>
      <w:pPr>
        <w:spacing w:after="0"/>
        <w:jc w:val="center"/>
      </w:pPr>
      <w:r>
        <w:rPr>
          <w:rFonts w:ascii="Calibri" w:hAnsi="Calibri"/>
          <w:b w:val="0"/>
          <w:i w:val="0"/>
          <w:color w:val="444444"/>
          <w:sz w:val="19"/>
        </w:rPr>
        <w:t>Product Manager  |  API-First Platform Capabilities  |  Third-Party &amp; Partner Integrations  |  Reusable Services  |  Agile Delivery</w:t>
      </w:r>
    </w:p>
    <w:p>
      <w:pPr>
        <w:spacing w:after="70"/>
        <w:jc w:val="center"/>
      </w:pPr>
      <w:r>
        <w:rPr>
          <w:rFonts w:ascii="Calibri" w:hAnsi="Calibri"/>
          <w:b w:val="0"/>
          <w:i w:val="0"/>
          <w:color w:val="444444"/>
          <w:sz w:val="18"/>
        </w:rPr>
        <w:t>Gurugram, India  •  +91 8756972501  •  kshitizyadav788@gmail.com  •  linkedin.com/in/kshitizyadav</w:t>
      </w:r>
    </w:p>
    <w:p>
      <w:pPr>
        <w:spacing w:before="150" w:after="60"/>
        <w:pBdr>
          <w:bottom w:val="single" w:sz="6" w:space="1" w:color="2E5AAC"/>
        </w:pBdr>
      </w:pPr>
      <w:r>
        <w:rPr>
          <w:rFonts w:ascii="Calibri" w:hAnsi="Calibri"/>
          <w:b/>
          <w:color w:val="1F3864"/>
          <w:sz w:val="22"/>
        </w:rPr>
        <w:t>PROFESSIONAL SUMMARY</w:t>
      </w:r>
    </w:p>
    <w:p>
      <w:pPr>
        <w:spacing w:after="70"/>
      </w:pPr>
      <w:r>
        <w:rPr>
          <w:rFonts w:ascii="Calibri" w:hAnsi="Calibri"/>
          <w:b w:val="0"/>
          <w:i w:val="0"/>
          <w:sz w:val="19"/>
        </w:rPr>
        <w:t>Product Manager with 5+ years defining and delivering API-first, reusable platform capabilities and third-party integrations at a high-growth B2C platform. Owns the end-to-end lifecycle of integrations with external technology partners - 6 payment gateways (Razorpay, PayU, PayGlocal, PayPal, Bajaj), messaging (Gupshup, Venera Connect), and telephony (Exotel, Tata Tele) - acting as the primary point of contact from discovery through implementation and ongoing maintenance. Writes clear product requirements, user stories, acceptance criteria, and integration specifications, and partners closely with engineering on API contracts, data mappings, and data quality. Data-driven (SQL, Power BI) with a focus on adoption, reliability, and operational efficiency.</w:t>
      </w:r>
    </w:p>
    <w:p>
      <w:pPr>
        <w:spacing w:before="150" w:after="60"/>
        <w:pBdr>
          <w:bottom w:val="single" w:sz="6" w:space="1" w:color="2E5AAC"/>
        </w:pBdr>
      </w:pPr>
      <w:r>
        <w:rPr>
          <w:rFonts w:ascii="Calibri" w:hAnsi="Calibri"/>
          <w:b/>
          <w:color w:val="1F3864"/>
          <w:sz w:val="22"/>
        </w:rPr>
        <w:t>PROFESSIONAL EXPERIENCE</w:t>
      </w:r>
    </w:p>
    <w:p>
      <w:pPr>
        <w:tabs>
          <w:tab w:pos="10546" w:val="right"/>
        </w:tabs>
        <w:spacing w:after="0"/>
      </w:pPr>
      <w:r>
        <w:rPr>
          <w:rFonts w:ascii="Calibri" w:hAnsi="Calibri"/>
          <w:b/>
          <w:i w:val="0"/>
          <w:sz w:val="21"/>
        </w:rPr>
        <w:t>PlanetSpark — Product Manager</w:t>
      </w:r>
      <w:r>
        <w:rPr>
          <w:rFonts w:ascii="Calibri" w:hAnsi="Calibri"/>
          <w:b w:val="0"/>
          <w:i w:val="0"/>
          <w:color w:val="444444"/>
          <w:sz w:val="19"/>
        </w:rPr>
        <w:tab/>
        <w:t>Gurugram · Mar 2021 – Present</w:t>
      </w:r>
    </w:p>
    <w:p>
      <w:pPr>
        <w:spacing w:after="70"/>
      </w:pPr>
      <w:r>
        <w:rPr>
          <w:rFonts w:ascii="Calibri" w:hAnsi="Calibri"/>
          <w:b w:val="0"/>
          <w:i/>
          <w:color w:val="333333"/>
          <w:sz w:val="19"/>
        </w:rPr>
        <w:t>Own the full product suite of a B2C EdTech marketplace -- one of India's largest public speaking &amp; creative writing platforms, connecting students and teachers via a shared LMS: consumer app, student &amp; teacher LMS, sales CRM, product-led growth &amp; renewal engine, and an in-house AI layer.</w:t>
      </w:r>
    </w:p>
    <w:p>
      <w:pPr>
        <w:spacing w:before="80" w:after="0"/>
      </w:pPr>
      <w:r>
        <w:rPr>
          <w:rFonts w:ascii="Calibri" w:hAnsi="Calibri"/>
          <w:b/>
          <w:i/>
          <w:color w:val="2E5AAC"/>
          <w:sz w:val="19"/>
        </w:rPr>
        <w:t>API-First Platform &amp; Third-Party Integrations</w:t>
      </w:r>
    </w:p>
    <w:p>
      <w:pPr>
        <w:pStyle w:val="ListBullet"/>
        <w:spacing w:after="70" w:before="0" w:line="293" w:lineRule="auto"/>
      </w:pPr>
      <w:r>
        <w:rPr>
          <w:rFonts w:ascii="Calibri" w:hAnsi="Calibri"/>
          <w:b w:val="0"/>
          <w:i w:val="0"/>
          <w:sz w:val="19"/>
        </w:rPr>
        <w:t>Own the lifecycle of third-party technology integrations end-to-end - 6 payment gateways via their APIs (payment creation, status verification, webhooks), messaging (Gupshup, Venera Connect), and telephony (Exotel, Tata Tele) - acting as the primary point of contact with external partners from discovery through implementation and ongoing maintenance.</w:t>
      </w:r>
    </w:p>
    <w:p>
      <w:pPr>
        <w:pStyle w:val="ListBullet"/>
        <w:spacing w:after="70" w:before="0" w:line="293" w:lineRule="auto"/>
      </w:pPr>
      <w:r>
        <w:rPr>
          <w:rFonts w:ascii="Calibri" w:hAnsi="Calibri"/>
          <w:b w:val="0"/>
          <w:i w:val="0"/>
          <w:sz w:val="19"/>
        </w:rPr>
        <w:t>Built reusable, configurable capabilities rather than point solutions: a shared payments capability and an omnichannel support service consolidating LMS, email, WhatsApp, and chatbot channels - reused across the app, LMS, and CRM.</w:t>
      </w:r>
    </w:p>
    <w:p>
      <w:pPr>
        <w:spacing w:before="80" w:after="0"/>
      </w:pPr>
      <w:r>
        <w:rPr>
          <w:rFonts w:ascii="Calibri" w:hAnsi="Calibri"/>
          <w:b/>
          <w:i/>
          <w:color w:val="2E5AAC"/>
          <w:sz w:val="19"/>
        </w:rPr>
        <w:t>Requirements, Specifications &amp; Engineering Collaboration</w:t>
      </w:r>
    </w:p>
    <w:p>
      <w:pPr>
        <w:pStyle w:val="ListBullet"/>
        <w:spacing w:after="70" w:before="0" w:line="293" w:lineRule="auto"/>
      </w:pPr>
      <w:r>
        <w:rPr>
          <w:rFonts w:ascii="Calibri" w:hAnsi="Calibri"/>
          <w:b w:val="0"/>
          <w:i w:val="0"/>
          <w:sz w:val="19"/>
        </w:rPr>
        <w:t>Write clear product requirements, user stories, acceptance criteria, and integration specifications; partner with engineering on API contracts, data mappings, and system behaviours, including security and data quality considerations.</w:t>
      </w:r>
    </w:p>
    <w:p>
      <w:pPr>
        <w:pStyle w:val="ListBullet"/>
        <w:spacing w:after="70" w:before="0" w:line="293" w:lineRule="auto"/>
      </w:pPr>
      <w:r>
        <w:rPr>
          <w:rFonts w:ascii="Calibri" w:hAnsi="Calibri"/>
          <w:b w:val="0"/>
          <w:i w:val="0"/>
          <w:sz w:val="19"/>
        </w:rPr>
        <w:t>Replaced a third-party video platform with a resilient in-house one and automated backend workflows (manual punching 100% to 2%), improving reliability, consistency, and operational efficiency while saving Rs 1.6L/month.</w:t>
      </w:r>
    </w:p>
    <w:p>
      <w:pPr>
        <w:spacing w:before="80" w:after="0"/>
      </w:pPr>
      <w:r>
        <w:rPr>
          <w:rFonts w:ascii="Calibri" w:hAnsi="Calibri"/>
          <w:b/>
          <w:i/>
          <w:color w:val="2E5AAC"/>
          <w:sz w:val="19"/>
        </w:rPr>
        <w:t>Adoption, Data &amp; Commercial Value</w:t>
      </w:r>
    </w:p>
    <w:p>
      <w:pPr>
        <w:pStyle w:val="ListBullet"/>
        <w:spacing w:after="70" w:before="0" w:line="293" w:lineRule="auto"/>
      </w:pPr>
      <w:r>
        <w:rPr>
          <w:rFonts w:ascii="Calibri" w:hAnsi="Calibri"/>
          <w:b w:val="0"/>
          <w:i w:val="0"/>
          <w:sz w:val="19"/>
        </w:rPr>
        <w:t>Measure adoption and operational performance with SQL and Power BI dashboards for Marketing, Sales, and Operations, monitoring data quality and catching discrepancies across systems.</w:t>
      </w:r>
    </w:p>
    <w:p>
      <w:pPr>
        <w:pStyle w:val="ListBullet"/>
        <w:spacing w:after="70" w:before="0" w:line="293" w:lineRule="auto"/>
      </w:pPr>
      <w:r>
        <w:rPr>
          <w:rFonts w:ascii="Calibri" w:hAnsi="Calibri"/>
          <w:b w:val="0"/>
          <w:i w:val="0"/>
          <w:sz w:val="19"/>
        </w:rPr>
        <w:t>Prioritise and deliver large, ambiguous initiatives that create commercial value - re-architected the sign-up to enrolment funnel and shipped monetization and renewal capabilities driving 20% revenue growth, 25% ARPU expansion, and Rs 70L in renewals in a single month.</w:t>
      </w:r>
    </w:p>
    <w:p>
      <w:pPr>
        <w:spacing w:before="150" w:after="60"/>
        <w:pBdr>
          <w:bottom w:val="single" w:sz="6" w:space="1" w:color="2E5AAC"/>
        </w:pBdr>
      </w:pPr>
      <w:r>
        <w:rPr>
          <w:rFonts w:ascii="Calibri" w:hAnsi="Calibri"/>
          <w:b/>
          <w:color w:val="1F3864"/>
          <w:sz w:val="22"/>
        </w:rPr>
        <w:t>CORE COMPETENCIES</w:t>
      </w:r>
    </w:p>
    <w:p>
      <w:pPr>
        <w:spacing w:after="70"/>
      </w:pPr>
      <w:r>
        <w:rPr>
          <w:rFonts w:ascii="Calibri" w:hAnsi="Calibri"/>
          <w:b w:val="0"/>
          <w:i w:val="0"/>
          <w:sz w:val="19"/>
        </w:rPr>
        <w:t>API-First Platform Capabilities · Third-Party &amp; Partner Integrations (lifecycle owner) · Reusable Capabilities &amp; Configurable Integration Patterns · Integration Specifications, API Contracts &amp; Data Mappings · Product Requirements, User Stories &amp; Acceptance Criteria · Execution Roadmap &amp; Prioritisation · Adoption, Reliability &amp; Operational Metrics · Data Quality &amp; Observability · Business and Technical Stakeholder Management · Cross-Functional Agile Delivery (Engineering, Design, Operations) · SQL &amp; BI · Platform-First Thinking</w:t>
      </w:r>
    </w:p>
    <w:p>
      <w:pPr>
        <w:spacing w:before="150" w:after="60"/>
        <w:pBdr>
          <w:bottom w:val="single" w:sz="6" w:space="1" w:color="2E5AAC"/>
        </w:pBdr>
      </w:pPr>
      <w:r>
        <w:rPr>
          <w:rFonts w:ascii="Calibri" w:hAnsi="Calibri"/>
          <w:b/>
          <w:color w:val="1F3864"/>
          <w:sz w:val="22"/>
        </w:rPr>
        <w:t>TECHNICAL SKILLS &amp; TOOLS</w:t>
      </w:r>
    </w:p>
    <w:p>
      <w:pPr>
        <w:pStyle w:val="ListBullet"/>
        <w:spacing w:after="70" w:before="0" w:line="293" w:lineRule="auto"/>
      </w:pPr>
      <w:r>
        <w:rPr>
          <w:rFonts w:ascii="Calibri" w:hAnsi="Calibri"/>
          <w:b/>
          <w:i w:val="0"/>
          <w:sz w:val="19"/>
        </w:rPr>
        <w:t xml:space="preserve">Platform &amp; Integration: </w:t>
      </w:r>
      <w:r>
        <w:rPr>
          <w:rFonts w:ascii="Calibri" w:hAnsi="Calibri"/>
          <w:b w:val="0"/>
          <w:i w:val="0"/>
          <w:sz w:val="19"/>
        </w:rPr>
        <w:t>REST APIs, webhooks, API contracts, data mappings, third-party system integration</w:t>
      </w:r>
    </w:p>
    <w:p>
      <w:pPr>
        <w:pStyle w:val="ListBullet"/>
        <w:spacing w:after="70" w:before="0" w:line="293" w:lineRule="auto"/>
      </w:pPr>
      <w:r>
        <w:rPr>
          <w:rFonts w:ascii="Calibri" w:hAnsi="Calibri"/>
          <w:b/>
          <w:i w:val="0"/>
          <w:sz w:val="19"/>
        </w:rPr>
        <w:t xml:space="preserve">Data &amp; Analytics: </w:t>
      </w:r>
      <w:r>
        <w:rPr>
          <w:rFonts w:ascii="Calibri" w:hAnsi="Calibri"/>
          <w:b w:val="0"/>
          <w:i w:val="0"/>
          <w:sz w:val="19"/>
        </w:rPr>
        <w:t>SQL, Power BI, Metabase, GA4, MS Excel (Advanced)</w:t>
      </w:r>
    </w:p>
    <w:p>
      <w:pPr>
        <w:pStyle w:val="ListBullet"/>
        <w:spacing w:after="70" w:before="0" w:line="293" w:lineRule="auto"/>
      </w:pPr>
      <w:r>
        <w:rPr>
          <w:rFonts w:ascii="Calibri" w:hAnsi="Calibri"/>
          <w:b/>
          <w:i w:val="0"/>
          <w:sz w:val="19"/>
        </w:rPr>
        <w:t xml:space="preserve">Product &amp; Delivery: </w:t>
      </w:r>
      <w:r>
        <w:rPr>
          <w:rFonts w:ascii="Calibri" w:hAnsi="Calibri"/>
          <w:b w:val="0"/>
          <w:i w:val="0"/>
          <w:sz w:val="19"/>
        </w:rPr>
        <w:t>JIRA, Confluence, Agile/Scrum, user stories, acceptance criteria, RICE prioritisation</w:t>
      </w:r>
    </w:p>
    <w:p>
      <w:pPr>
        <w:pStyle w:val="ListBullet"/>
        <w:spacing w:after="70" w:before="0" w:line="293" w:lineRule="auto"/>
      </w:pPr>
      <w:r>
        <w:rPr>
          <w:rFonts w:ascii="Calibri" w:hAnsi="Calibri"/>
          <w:b/>
          <w:i w:val="0"/>
          <w:sz w:val="19"/>
        </w:rPr>
        <w:t xml:space="preserve">AI &amp; Tools: </w:t>
      </w:r>
      <w:r>
        <w:rPr>
          <w:rFonts w:ascii="Calibri" w:hAnsi="Calibri"/>
          <w:b w:val="0"/>
          <w:i w:val="0"/>
          <w:sz w:val="19"/>
        </w:rPr>
        <w:t>OpenAI / Gemini / Claude APIs, Prompt Engineering, Figma</w:t>
      </w:r>
    </w:p>
    <w:p>
      <w:pPr>
        <w:spacing w:before="150" w:after="60"/>
        <w:pBdr>
          <w:bottom w:val="single" w:sz="6" w:space="1" w:color="2E5AAC"/>
        </w:pBdr>
      </w:pPr>
      <w:r>
        <w:rPr>
          <w:rFonts w:ascii="Calibri" w:hAnsi="Calibri"/>
          <w:b/>
          <w:color w:val="1F3864"/>
          <w:sz w:val="22"/>
        </w:rPr>
        <w:t>EDUCATION</w:t>
      </w:r>
    </w:p>
    <w:p>
      <w:pPr>
        <w:tabs>
          <w:tab w:pos="10546" w:val="right"/>
        </w:tabs>
        <w:spacing w:after="70"/>
      </w:pPr>
      <w:r>
        <w:rPr>
          <w:rFonts w:ascii="Calibri" w:hAnsi="Calibri"/>
          <w:b/>
          <w:i w:val="0"/>
          <w:sz w:val="19"/>
        </w:rPr>
        <w:t>BBA — Chandigarh University, Chandigarh</w:t>
      </w:r>
      <w:r>
        <w:rPr>
          <w:rFonts w:ascii="Calibri" w:hAnsi="Calibri"/>
          <w:b w:val="0"/>
          <w:i w:val="0"/>
          <w:color w:val="444444"/>
          <w:sz w:val="19"/>
        </w:rPr>
        <w:tab/>
        <w:t>2019 – 2021</w:t>
      </w:r>
    </w:p>
    <w:p>
      <w:pPr>
        <w:tabs>
          <w:tab w:pos="10546" w:val="right"/>
        </w:tabs>
        <w:spacing w:after="70"/>
      </w:pPr>
      <w:r>
        <w:rPr>
          <w:rFonts w:ascii="Calibri" w:hAnsi="Calibri"/>
          <w:b/>
          <w:i w:val="0"/>
          <w:sz w:val="19"/>
        </w:rPr>
        <w:t>Class XII (ISC), St. Thomas High School, Kanpur</w:t>
      </w:r>
      <w:r>
        <w:rPr>
          <w:rFonts w:ascii="Calibri" w:hAnsi="Calibri"/>
          <w:b w:val="0"/>
          <w:i w:val="0"/>
          <w:color w:val="444444"/>
          <w:sz w:val="19"/>
        </w:rPr>
        <w:tab/>
        <w:t>2018</w:t>
      </w:r>
    </w:p>
    <w:p>
      <w:pPr>
        <w:spacing w:before="150" w:after="60"/>
        <w:pBdr>
          <w:bottom w:val="single" w:sz="6" w:space="1" w:color="2E5AAC"/>
        </w:pBdr>
      </w:pPr>
      <w:r>
        <w:rPr>
          <w:rFonts w:ascii="Calibri" w:hAnsi="Calibri"/>
          <w:b/>
          <w:color w:val="1F3864"/>
          <w:sz w:val="22"/>
        </w:rPr>
        <w:t>CERTIFICATIONS</w:t>
      </w:r>
    </w:p>
    <w:p>
      <w:pPr>
        <w:pStyle w:val="ListBullet"/>
        <w:spacing w:after="70" w:before="0" w:line="293" w:lineRule="auto"/>
      </w:pPr>
      <w:r>
        <w:rPr>
          <w:rFonts w:ascii="Calibri" w:hAnsi="Calibri"/>
          <w:b w:val="0"/>
          <w:i w:val="0"/>
          <w:sz w:val="19"/>
        </w:rPr>
        <w:t>Product Management Certification — Udemy (2024)    •    JIRA Certification — Udemy (2024)</w:t>
      </w:r>
    </w:p>
    <w:sectPr w:rsidR="00FC693F" w:rsidRPr="0006063C" w:rsidSect="00034616">
      <w:pgSz w:w="11906" w:h="16838"/>
      <w:pgMar w:top="510" w:right="680" w:bottom="51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before="0" w:line="293"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before="0" w:line="293"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